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CC0FC" w14:textId="77777777" w:rsidR="004A33C2" w:rsidRPr="004A33C2" w:rsidRDefault="004A33C2">
      <w:pPr>
        <w:autoSpaceDE w:val="0"/>
        <w:autoSpaceDN w:val="0"/>
        <w:adjustRightInd w:val="0"/>
        <w:rPr>
          <w:rFonts w:ascii="Segoe UI" w:hAnsi="Segoe UI" w:cs="Segoe UI"/>
          <w:b/>
          <w:color w:val="000000"/>
          <w:sz w:val="20"/>
          <w:szCs w:val="20"/>
        </w:rPr>
      </w:pPr>
    </w:p>
    <w:p w14:paraId="611A29F9" w14:textId="0E75C93F" w:rsidR="00EB1E71" w:rsidRPr="006C72A4" w:rsidRDefault="009933FA">
      <w:pPr>
        <w:autoSpaceDE w:val="0"/>
        <w:autoSpaceDN w:val="0"/>
        <w:adjustRightInd w:val="0"/>
        <w:rPr>
          <w:rFonts w:ascii="Segoe UI" w:hAnsi="Segoe UI" w:cs="Segoe UI"/>
          <w:b/>
          <w:color w:val="000000"/>
          <w:sz w:val="20"/>
          <w:szCs w:val="20"/>
        </w:rPr>
      </w:pPr>
      <w:r>
        <w:rPr>
          <w:rFonts w:ascii="Segoe UI" w:hAnsi="Segoe UI"/>
          <w:b/>
          <w:color w:val="000000"/>
          <w:sz w:val="20"/>
        </w:rPr>
        <w:t>Medienmitteilung</w:t>
      </w:r>
    </w:p>
    <w:p w14:paraId="1E27919F" w14:textId="4AF508A3" w:rsidR="00AB3B4C" w:rsidRPr="006C72A4" w:rsidRDefault="00C5779D" w:rsidP="00AB3B4C">
      <w:pPr>
        <w:pBdr>
          <w:bottom w:val="single" w:sz="4" w:space="3" w:color="auto"/>
        </w:pBdr>
        <w:autoSpaceDE w:val="0"/>
        <w:autoSpaceDN w:val="0"/>
        <w:adjustRightInd w:val="0"/>
        <w:rPr>
          <w:rFonts w:ascii="Segoe UI" w:hAnsi="Segoe UI" w:cs="Segoe UI"/>
          <w:color w:val="000000"/>
          <w:sz w:val="20"/>
          <w:szCs w:val="20"/>
        </w:rPr>
      </w:pPr>
      <w:r>
        <w:rPr>
          <w:rFonts w:ascii="Segoe UI" w:hAnsi="Segoe UI"/>
          <w:color w:val="000000"/>
          <w:sz w:val="20"/>
        </w:rPr>
        <w:t>April 2022</w:t>
      </w:r>
      <w:r w:rsidR="004A33C2">
        <w:rPr>
          <w:rFonts w:ascii="Segoe UI" w:hAnsi="Segoe UI"/>
          <w:color w:val="000000"/>
          <w:sz w:val="20"/>
        </w:rPr>
        <w:t xml:space="preserve">, </w:t>
      </w:r>
      <w:proofErr w:type="spellStart"/>
      <w:r w:rsidR="004A33C2">
        <w:rPr>
          <w:rFonts w:ascii="Segoe UI" w:hAnsi="Segoe UI"/>
          <w:color w:val="000000"/>
          <w:sz w:val="20"/>
        </w:rPr>
        <w:t>Sensirion</w:t>
      </w:r>
      <w:proofErr w:type="spellEnd"/>
      <w:r w:rsidR="004A33C2">
        <w:rPr>
          <w:rFonts w:ascii="Segoe UI" w:hAnsi="Segoe UI"/>
          <w:color w:val="000000"/>
          <w:sz w:val="20"/>
        </w:rPr>
        <w:t xml:space="preserve"> AG, 8712 Stäfa, Schweiz</w:t>
      </w:r>
    </w:p>
    <w:p w14:paraId="611A29FB" w14:textId="77777777" w:rsidR="00D0354C" w:rsidRPr="006C72A4" w:rsidRDefault="00D0354C" w:rsidP="00D0354C">
      <w:pPr>
        <w:autoSpaceDE w:val="0"/>
        <w:autoSpaceDN w:val="0"/>
        <w:adjustRightInd w:val="0"/>
        <w:rPr>
          <w:rFonts w:ascii="Segoe UI" w:hAnsi="Segoe UI" w:cs="Segoe UI"/>
          <w:color w:val="000000"/>
          <w:sz w:val="20"/>
          <w:szCs w:val="20"/>
        </w:rPr>
      </w:pPr>
    </w:p>
    <w:p w14:paraId="6DECCF33" w14:textId="77777777" w:rsidR="00A07046" w:rsidRPr="00A07046" w:rsidRDefault="00A07046" w:rsidP="00A07046">
      <w:pPr>
        <w:jc w:val="both"/>
        <w:rPr>
          <w:rFonts w:ascii="Segoe UI" w:hAnsi="Segoe UI"/>
          <w:b/>
          <w:color w:val="000000" w:themeColor="text1"/>
          <w:sz w:val="28"/>
        </w:rPr>
      </w:pPr>
      <w:proofErr w:type="spellStart"/>
      <w:r w:rsidRPr="00A07046">
        <w:rPr>
          <w:rFonts w:ascii="Segoe UI" w:hAnsi="Segoe UI"/>
          <w:b/>
          <w:color w:val="000000" w:themeColor="text1"/>
          <w:sz w:val="28"/>
        </w:rPr>
        <w:t>Qmicro</w:t>
      </w:r>
      <w:proofErr w:type="spellEnd"/>
      <w:r w:rsidRPr="00A07046">
        <w:rPr>
          <w:rFonts w:ascii="Segoe UI" w:hAnsi="Segoe UI"/>
          <w:b/>
          <w:color w:val="000000" w:themeColor="text1"/>
          <w:sz w:val="28"/>
        </w:rPr>
        <w:t xml:space="preserve"> von </w:t>
      </w:r>
      <w:proofErr w:type="spellStart"/>
      <w:r w:rsidRPr="00A07046">
        <w:rPr>
          <w:rFonts w:ascii="Segoe UI" w:hAnsi="Segoe UI"/>
          <w:b/>
          <w:color w:val="000000" w:themeColor="text1"/>
          <w:sz w:val="28"/>
        </w:rPr>
        <w:t>Sensirion</w:t>
      </w:r>
      <w:proofErr w:type="spellEnd"/>
      <w:r w:rsidRPr="00A07046">
        <w:rPr>
          <w:rFonts w:ascii="Segoe UI" w:hAnsi="Segoe UI"/>
          <w:b/>
          <w:color w:val="000000" w:themeColor="text1"/>
          <w:sz w:val="28"/>
        </w:rPr>
        <w:t xml:space="preserve"> gratuliert </w:t>
      </w:r>
      <w:proofErr w:type="spellStart"/>
      <w:r w:rsidRPr="00A07046">
        <w:rPr>
          <w:rFonts w:ascii="Segoe UI" w:hAnsi="Segoe UI"/>
          <w:b/>
          <w:color w:val="000000" w:themeColor="text1"/>
          <w:sz w:val="28"/>
        </w:rPr>
        <w:t>MeterQ</w:t>
      </w:r>
      <w:proofErr w:type="spellEnd"/>
      <w:r w:rsidRPr="00A07046">
        <w:rPr>
          <w:rFonts w:ascii="Segoe UI" w:hAnsi="Segoe UI"/>
          <w:b/>
          <w:color w:val="000000" w:themeColor="text1"/>
          <w:sz w:val="28"/>
        </w:rPr>
        <w:t xml:space="preserve"> zur PTB-Zulassung  </w:t>
      </w:r>
    </w:p>
    <w:p w14:paraId="30D5BA5C" w14:textId="77777777" w:rsidR="00A07046" w:rsidRPr="003633AA" w:rsidRDefault="00A07046" w:rsidP="00A07046">
      <w:pPr>
        <w:pStyle w:val="paragraph"/>
        <w:spacing w:before="0" w:beforeAutospacing="0" w:after="0" w:afterAutospacing="0"/>
        <w:jc w:val="both"/>
        <w:textAlignment w:val="baseline"/>
        <w:rPr>
          <w:rFonts w:ascii="Segoe UI" w:hAnsi="Segoe UI" w:cs="Segoe UI"/>
          <w:sz w:val="18"/>
          <w:szCs w:val="18"/>
        </w:rPr>
      </w:pPr>
      <w:r>
        <w:rPr>
          <w:rStyle w:val="normaltextrun"/>
          <w:sz w:val="22"/>
        </w:rPr>
        <w:t> </w:t>
      </w:r>
      <w:r>
        <w:rPr>
          <w:rStyle w:val="eop"/>
          <w:rFonts w:ascii="Arial Narrow" w:hAnsi="Arial Narrow"/>
          <w:sz w:val="22"/>
        </w:rPr>
        <w:t> </w:t>
      </w:r>
    </w:p>
    <w:p w14:paraId="125B2561" w14:textId="573F32A4" w:rsidR="00A07046" w:rsidRPr="00A07046" w:rsidRDefault="00A07046" w:rsidP="00A07046">
      <w:pPr>
        <w:jc w:val="both"/>
        <w:rPr>
          <w:rFonts w:ascii="Segoe UI" w:hAnsi="Segoe UI"/>
          <w:b/>
          <w:sz w:val="22"/>
        </w:rPr>
      </w:pPr>
      <w:proofErr w:type="spellStart"/>
      <w:r w:rsidRPr="00A07046">
        <w:rPr>
          <w:rFonts w:ascii="Segoe UI" w:hAnsi="Segoe UI"/>
          <w:b/>
          <w:sz w:val="22"/>
        </w:rPr>
        <w:t>MeterQ</w:t>
      </w:r>
      <w:proofErr w:type="spellEnd"/>
      <w:r w:rsidRPr="00A07046">
        <w:rPr>
          <w:rFonts w:ascii="Segoe UI" w:hAnsi="Segoe UI"/>
          <w:b/>
          <w:sz w:val="22"/>
        </w:rPr>
        <w:t xml:space="preserve"> hat PTB-Zulassung erhalten   </w:t>
      </w:r>
    </w:p>
    <w:p w14:paraId="4DB5B86E" w14:textId="2E86AD26" w:rsidR="00A07046" w:rsidRPr="003633AA" w:rsidRDefault="008B1CFD" w:rsidP="00A07046">
      <w:pPr>
        <w:pStyle w:val="paragraph"/>
        <w:spacing w:before="0" w:beforeAutospacing="0" w:after="0" w:afterAutospacing="0"/>
        <w:jc w:val="both"/>
        <w:textAlignment w:val="baseline"/>
        <w:rPr>
          <w:rFonts w:ascii="Segoe UI" w:hAnsi="Segoe UI" w:cs="Segoe UI"/>
          <w:sz w:val="18"/>
          <w:szCs w:val="18"/>
        </w:rPr>
      </w:pPr>
      <w:r>
        <w:rPr>
          <w:noProof/>
        </w:rPr>
        <w:drawing>
          <wp:anchor distT="0" distB="0" distL="114300" distR="114300" simplePos="0" relativeHeight="251659776" behindDoc="0" locked="0" layoutInCell="1" allowOverlap="1" wp14:anchorId="111469DC" wp14:editId="36E4632E">
            <wp:simplePos x="0" y="0"/>
            <wp:positionH relativeFrom="margin">
              <wp:posOffset>0</wp:posOffset>
            </wp:positionH>
            <wp:positionV relativeFrom="paragraph">
              <wp:posOffset>5080</wp:posOffset>
            </wp:positionV>
            <wp:extent cx="1473835" cy="15716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73835" cy="1571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046">
        <w:rPr>
          <w:rStyle w:val="normaltextrun"/>
          <w:sz w:val="22"/>
        </w:rPr>
        <w:t> </w:t>
      </w:r>
      <w:r w:rsidR="00A07046">
        <w:rPr>
          <w:rStyle w:val="eop"/>
          <w:rFonts w:ascii="Arial Narrow" w:hAnsi="Arial Narrow"/>
          <w:sz w:val="22"/>
        </w:rPr>
        <w:t> </w:t>
      </w:r>
    </w:p>
    <w:p w14:paraId="4F7124A8" w14:textId="6D03F7F5" w:rsidR="00A07046" w:rsidRPr="00A07046" w:rsidRDefault="00A07046" w:rsidP="00A07046">
      <w:pPr>
        <w:autoSpaceDE w:val="0"/>
        <w:autoSpaceDN w:val="0"/>
        <w:adjustRightInd w:val="0"/>
        <w:jc w:val="both"/>
        <w:rPr>
          <w:rFonts w:ascii="Segoe UI" w:hAnsi="Segoe UI"/>
          <w:sz w:val="20"/>
        </w:rPr>
      </w:pPr>
      <w:proofErr w:type="spellStart"/>
      <w:r w:rsidRPr="00A07046">
        <w:rPr>
          <w:rFonts w:ascii="Segoe UI" w:hAnsi="Segoe UI"/>
          <w:sz w:val="20"/>
        </w:rPr>
        <w:t>Qmicro</w:t>
      </w:r>
      <w:proofErr w:type="spellEnd"/>
      <w:r w:rsidRPr="00A07046">
        <w:rPr>
          <w:rFonts w:ascii="Segoe UI" w:hAnsi="Segoe UI"/>
          <w:sz w:val="20"/>
        </w:rPr>
        <w:t xml:space="preserve"> von </w:t>
      </w:r>
      <w:proofErr w:type="spellStart"/>
      <w:r w:rsidRPr="00A07046">
        <w:rPr>
          <w:rFonts w:ascii="Segoe UI" w:hAnsi="Segoe UI"/>
          <w:sz w:val="20"/>
        </w:rPr>
        <w:t>Sensirion</w:t>
      </w:r>
      <w:proofErr w:type="spellEnd"/>
      <w:r w:rsidRPr="00A07046">
        <w:rPr>
          <w:rFonts w:ascii="Segoe UI" w:hAnsi="Segoe UI"/>
          <w:sz w:val="20"/>
        </w:rPr>
        <w:t xml:space="preserve"> gratuliert </w:t>
      </w:r>
      <w:proofErr w:type="spellStart"/>
      <w:r w:rsidR="00366CC7">
        <w:rPr>
          <w:rFonts w:ascii="Segoe UI" w:hAnsi="Segoe UI"/>
          <w:sz w:val="20"/>
        </w:rPr>
        <w:t>MeterQ</w:t>
      </w:r>
      <w:proofErr w:type="spellEnd"/>
      <w:r w:rsidR="00366CC7">
        <w:rPr>
          <w:rFonts w:ascii="Segoe UI" w:hAnsi="Segoe UI"/>
          <w:sz w:val="20"/>
        </w:rPr>
        <w:t>, einem</w:t>
      </w:r>
      <w:r w:rsidRPr="00A07046">
        <w:rPr>
          <w:rFonts w:ascii="Segoe UI" w:hAnsi="Segoe UI"/>
          <w:sz w:val="20"/>
        </w:rPr>
        <w:t xml:space="preserve"> Lösungsanbieter für die Erdgasbranche</w:t>
      </w:r>
      <w:r w:rsidR="00366CC7">
        <w:rPr>
          <w:rFonts w:ascii="Segoe UI" w:hAnsi="Segoe UI"/>
          <w:sz w:val="20"/>
        </w:rPr>
        <w:t>,</w:t>
      </w:r>
      <w:r w:rsidRPr="00A07046">
        <w:rPr>
          <w:rFonts w:ascii="Segoe UI" w:hAnsi="Segoe UI"/>
          <w:sz w:val="20"/>
        </w:rPr>
        <w:t xml:space="preserve"> zur erfolgreichen Zulassung zweier Anlagen zur Gasqualitätsmessung durch die Physikalische Technische Bundesanstalt (PTB). Klimaneutralität, Nachhaltigkeit und die Reduktion von </w:t>
      </w:r>
      <w:r w:rsidR="00DE2DB1" w:rsidRPr="00204682">
        <w:rPr>
          <w:rFonts w:ascii="Segoe UI" w:hAnsi="Segoe UI"/>
          <w:sz w:val="20"/>
          <w:szCs w:val="20"/>
        </w:rPr>
        <w:t>CO</w:t>
      </w:r>
      <w:r w:rsidR="00DE2DB1" w:rsidRPr="00204682">
        <w:rPr>
          <w:rFonts w:ascii="Segoe UI" w:hAnsi="Segoe UI"/>
          <w:sz w:val="20"/>
          <w:szCs w:val="20"/>
          <w:vertAlign w:val="subscript"/>
        </w:rPr>
        <w:t>2</w:t>
      </w:r>
      <w:r w:rsidRPr="00A07046">
        <w:rPr>
          <w:rFonts w:ascii="Segoe UI" w:hAnsi="Segoe UI"/>
          <w:sz w:val="20"/>
        </w:rPr>
        <w:t xml:space="preserve">-Emissionen treiben als globale Trends die Dekarbonisierung im Energiesektor voran. Der neue Standard von </w:t>
      </w:r>
      <w:proofErr w:type="spellStart"/>
      <w:r w:rsidRPr="00A07046">
        <w:rPr>
          <w:rFonts w:ascii="Segoe UI" w:hAnsi="Segoe UI"/>
          <w:sz w:val="20"/>
        </w:rPr>
        <w:t>MeterQ</w:t>
      </w:r>
      <w:proofErr w:type="spellEnd"/>
      <w:r w:rsidRPr="00A07046">
        <w:rPr>
          <w:rFonts w:ascii="Segoe UI" w:hAnsi="Segoe UI"/>
          <w:sz w:val="20"/>
        </w:rPr>
        <w:t xml:space="preserve">, </w:t>
      </w:r>
      <w:proofErr w:type="spellStart"/>
      <w:r w:rsidR="0044413B" w:rsidRPr="007F2891">
        <w:rPr>
          <w:rFonts w:ascii="Segoe UI" w:hAnsi="Segoe UI"/>
          <w:sz w:val="20"/>
          <w:szCs w:val="20"/>
        </w:rPr>
        <w:t>MGC</w:t>
      </w:r>
      <w:r w:rsidR="0044413B" w:rsidRPr="007F2891">
        <w:rPr>
          <w:rFonts w:ascii="Segoe UI" w:hAnsi="Segoe UI"/>
          <w:sz w:val="20"/>
          <w:szCs w:val="20"/>
          <w:vertAlign w:val="superscript"/>
        </w:rPr>
        <w:t>flex</w:t>
      </w:r>
      <w:proofErr w:type="spellEnd"/>
      <w:r w:rsidRPr="00A07046">
        <w:rPr>
          <w:rFonts w:ascii="Segoe UI" w:hAnsi="Segoe UI"/>
          <w:sz w:val="20"/>
        </w:rPr>
        <w:t>, kann 13 Einzelkomponenten von Erdgas bestimmen, darunter Wasserstoff, Sauerstoff und Neopentan</w:t>
      </w:r>
      <w:r w:rsidR="003A685B">
        <w:rPr>
          <w:rFonts w:ascii="Segoe UI" w:hAnsi="Segoe UI"/>
          <w:sz w:val="20"/>
        </w:rPr>
        <w:t xml:space="preserve">. Damit ist er bestens </w:t>
      </w:r>
      <w:r w:rsidRPr="00A07046">
        <w:rPr>
          <w:rFonts w:ascii="Segoe UI" w:hAnsi="Segoe UI"/>
          <w:sz w:val="20"/>
        </w:rPr>
        <w:t>für die Zukunft gerüstet.  </w:t>
      </w:r>
    </w:p>
    <w:p w14:paraId="429832EC" w14:textId="77777777" w:rsidR="00A07046" w:rsidRPr="003633AA" w:rsidRDefault="00A07046" w:rsidP="00A07046">
      <w:pPr>
        <w:pStyle w:val="paragraph"/>
        <w:spacing w:before="0" w:beforeAutospacing="0" w:after="0" w:afterAutospacing="0"/>
        <w:jc w:val="both"/>
        <w:textAlignment w:val="baseline"/>
        <w:rPr>
          <w:rFonts w:ascii="Segoe UI" w:hAnsi="Segoe UI" w:cs="Segoe UI"/>
          <w:sz w:val="18"/>
          <w:szCs w:val="18"/>
        </w:rPr>
      </w:pPr>
      <w:r>
        <w:rPr>
          <w:rStyle w:val="normaltextrun"/>
          <w:rFonts w:ascii="Segoe UI" w:hAnsi="Segoe UI"/>
        </w:rPr>
        <w:t> </w:t>
      </w:r>
      <w:r>
        <w:rPr>
          <w:rStyle w:val="eop"/>
          <w:rFonts w:ascii="Segoe UI" w:hAnsi="Segoe UI"/>
          <w:sz w:val="20"/>
        </w:rPr>
        <w:t> </w:t>
      </w:r>
    </w:p>
    <w:p w14:paraId="63E6652B" w14:textId="77777777" w:rsidR="00A07046" w:rsidRPr="00A07046" w:rsidRDefault="00A07046" w:rsidP="00A07046">
      <w:pPr>
        <w:jc w:val="both"/>
        <w:rPr>
          <w:rFonts w:ascii="Segoe UI" w:hAnsi="Segoe UI"/>
          <w:b/>
          <w:sz w:val="22"/>
        </w:rPr>
      </w:pPr>
      <w:proofErr w:type="spellStart"/>
      <w:r w:rsidRPr="00A07046">
        <w:rPr>
          <w:rFonts w:ascii="Segoe UI" w:hAnsi="Segoe UI"/>
          <w:b/>
          <w:sz w:val="22"/>
        </w:rPr>
        <w:t>MeterQ</w:t>
      </w:r>
      <w:proofErr w:type="spellEnd"/>
      <w:r w:rsidRPr="00A07046">
        <w:rPr>
          <w:rFonts w:ascii="Segoe UI" w:hAnsi="Segoe UI"/>
          <w:b/>
          <w:sz w:val="22"/>
        </w:rPr>
        <w:t xml:space="preserve"> bietet erste mobile Kofferausführung  </w:t>
      </w:r>
    </w:p>
    <w:p w14:paraId="18C40FDF" w14:textId="77777777" w:rsidR="00A07046" w:rsidRPr="003633AA" w:rsidRDefault="00A07046" w:rsidP="00A07046">
      <w:pPr>
        <w:pStyle w:val="paragraph"/>
        <w:spacing w:before="0" w:beforeAutospacing="0" w:after="0" w:afterAutospacing="0"/>
        <w:jc w:val="both"/>
        <w:textAlignment w:val="baseline"/>
        <w:rPr>
          <w:rFonts w:ascii="Segoe UI" w:hAnsi="Segoe UI" w:cs="Segoe UI"/>
          <w:sz w:val="18"/>
          <w:szCs w:val="18"/>
        </w:rPr>
      </w:pPr>
      <w:r>
        <w:rPr>
          <w:rStyle w:val="normaltextrun"/>
        </w:rPr>
        <w:t> </w:t>
      </w:r>
      <w:r>
        <w:rPr>
          <w:rStyle w:val="eop"/>
          <w:rFonts w:ascii="Arial Narrow" w:hAnsi="Arial Narrow"/>
          <w:sz w:val="20"/>
        </w:rPr>
        <w:t> </w:t>
      </w:r>
    </w:p>
    <w:p w14:paraId="34A18B0B" w14:textId="77777777" w:rsidR="00A07046" w:rsidRPr="00A07046" w:rsidRDefault="00A07046" w:rsidP="00A07046">
      <w:pPr>
        <w:autoSpaceDE w:val="0"/>
        <w:autoSpaceDN w:val="0"/>
        <w:adjustRightInd w:val="0"/>
        <w:jc w:val="both"/>
        <w:rPr>
          <w:rFonts w:ascii="Segoe UI" w:hAnsi="Segoe UI"/>
          <w:sz w:val="20"/>
        </w:rPr>
      </w:pPr>
      <w:r w:rsidRPr="00A07046">
        <w:rPr>
          <w:rFonts w:ascii="Segoe UI" w:hAnsi="Segoe UI"/>
          <w:sz w:val="20"/>
        </w:rPr>
        <w:t xml:space="preserve">Von </w:t>
      </w:r>
      <w:proofErr w:type="spellStart"/>
      <w:r w:rsidRPr="00A07046">
        <w:rPr>
          <w:rFonts w:ascii="Segoe UI" w:hAnsi="Segoe UI"/>
          <w:sz w:val="20"/>
        </w:rPr>
        <w:t>MeterQ</w:t>
      </w:r>
      <w:proofErr w:type="spellEnd"/>
      <w:r w:rsidRPr="00A07046">
        <w:rPr>
          <w:rFonts w:ascii="Segoe UI" w:hAnsi="Segoe UI"/>
          <w:sz w:val="20"/>
        </w:rPr>
        <w:t xml:space="preserve"> ist auch eine mobile Version im Koffer namens </w:t>
      </w:r>
      <w:proofErr w:type="spellStart"/>
      <w:r w:rsidR="007F2891" w:rsidRPr="00433964">
        <w:rPr>
          <w:rStyle w:val="normaltextrun"/>
          <w:rFonts w:ascii="Segoe UI" w:hAnsi="Segoe UI" w:cs="Segoe UI"/>
        </w:rPr>
        <w:t>MGC</w:t>
      </w:r>
      <w:r w:rsidR="007F2891" w:rsidRPr="00433964">
        <w:rPr>
          <w:rStyle w:val="spellingerrorsuperscript"/>
          <w:rFonts w:ascii="Segoe UI" w:hAnsi="Segoe UI" w:cs="Segoe UI"/>
          <w:vertAlign w:val="superscript"/>
        </w:rPr>
        <w:t>mobile</w:t>
      </w:r>
      <w:proofErr w:type="spellEnd"/>
      <w:r w:rsidR="007F2891" w:rsidRPr="00A07046">
        <w:rPr>
          <w:rFonts w:ascii="Segoe UI" w:hAnsi="Segoe UI"/>
          <w:sz w:val="20"/>
        </w:rPr>
        <w:t xml:space="preserve"> </w:t>
      </w:r>
      <w:r w:rsidRPr="00A07046">
        <w:rPr>
          <w:rFonts w:ascii="Segoe UI" w:hAnsi="Segoe UI"/>
          <w:sz w:val="20"/>
        </w:rPr>
        <w:t xml:space="preserve">erhältlich. Dank dieser Lösung lässt sich die gesamte Anlage in nahezu jedem PKW transportieren. Innerhalb kurzer Zeit kann sie am gewünschten Ort aufgebaut und zur Gasanalyse eingesetzt werden. Der MGC hat als erster mobiler </w:t>
      </w:r>
      <w:proofErr w:type="spellStart"/>
      <w:r w:rsidRPr="00A07046">
        <w:rPr>
          <w:rFonts w:ascii="Segoe UI" w:hAnsi="Segoe UI"/>
          <w:sz w:val="20"/>
        </w:rPr>
        <w:t>Prozessgaschromatograph</w:t>
      </w:r>
      <w:proofErr w:type="spellEnd"/>
      <w:r w:rsidRPr="00A07046">
        <w:rPr>
          <w:rFonts w:ascii="Segoe UI" w:hAnsi="Segoe UI"/>
          <w:sz w:val="20"/>
        </w:rPr>
        <w:t xml:space="preserve"> die Zulassung der PTB erhalten und bietet dieselbe hohe Leistung wie </w:t>
      </w:r>
      <w:proofErr w:type="spellStart"/>
      <w:r w:rsidR="0044413B" w:rsidRPr="00A07046">
        <w:rPr>
          <w:rFonts w:ascii="Segoe UI" w:hAnsi="Segoe UI"/>
          <w:sz w:val="20"/>
        </w:rPr>
        <w:t>MGC</w:t>
      </w:r>
      <w:r w:rsidR="0044413B" w:rsidRPr="0044413B">
        <w:rPr>
          <w:rFonts w:ascii="Segoe UI" w:hAnsi="Segoe UI"/>
          <w:sz w:val="20"/>
          <w:szCs w:val="20"/>
          <w:vertAlign w:val="superscript"/>
        </w:rPr>
        <w:t>flex</w:t>
      </w:r>
      <w:proofErr w:type="spellEnd"/>
      <w:r w:rsidRPr="00A07046">
        <w:rPr>
          <w:rFonts w:ascii="Segoe UI" w:hAnsi="Segoe UI"/>
          <w:sz w:val="20"/>
        </w:rPr>
        <w:t>.  </w:t>
      </w:r>
    </w:p>
    <w:p w14:paraId="34600534" w14:textId="77777777" w:rsidR="00A07046" w:rsidRPr="00A07046" w:rsidRDefault="00A07046" w:rsidP="00A07046">
      <w:pPr>
        <w:autoSpaceDE w:val="0"/>
        <w:autoSpaceDN w:val="0"/>
        <w:adjustRightInd w:val="0"/>
        <w:jc w:val="both"/>
        <w:rPr>
          <w:rFonts w:ascii="Segoe UI" w:hAnsi="Segoe UI"/>
          <w:sz w:val="20"/>
        </w:rPr>
      </w:pPr>
      <w:r w:rsidRPr="00A07046">
        <w:rPr>
          <w:rFonts w:ascii="Segoe UI" w:hAnsi="Segoe UI"/>
          <w:sz w:val="20"/>
        </w:rPr>
        <w:t>  </w:t>
      </w:r>
    </w:p>
    <w:p w14:paraId="661E4B35" w14:textId="6D33B54C" w:rsidR="004A33C2" w:rsidRPr="00806892" w:rsidRDefault="00A07046" w:rsidP="004A33C2">
      <w:pPr>
        <w:autoSpaceDE w:val="0"/>
        <w:autoSpaceDN w:val="0"/>
        <w:adjustRightInd w:val="0"/>
        <w:jc w:val="both"/>
        <w:rPr>
          <w:rFonts w:ascii="Segoe UI" w:hAnsi="Segoe UI" w:cs="Segoe UI"/>
          <w:sz w:val="20"/>
          <w:szCs w:val="20"/>
        </w:rPr>
      </w:pPr>
      <w:r w:rsidRPr="00A07046">
        <w:rPr>
          <w:rFonts w:ascii="Segoe UI" w:hAnsi="Segoe UI"/>
          <w:sz w:val="20"/>
        </w:rPr>
        <w:t xml:space="preserve">Für diese Art der Gasanalyse gilt Deutschland als Pilotland, da Lösungen von </w:t>
      </w:r>
      <w:proofErr w:type="spellStart"/>
      <w:r w:rsidRPr="00A07046">
        <w:rPr>
          <w:rFonts w:ascii="Segoe UI" w:hAnsi="Segoe UI"/>
          <w:sz w:val="20"/>
        </w:rPr>
        <w:t>MeterQ</w:t>
      </w:r>
      <w:proofErr w:type="spellEnd"/>
      <w:r w:rsidRPr="00A07046">
        <w:rPr>
          <w:rFonts w:ascii="Segoe UI" w:hAnsi="Segoe UI"/>
          <w:sz w:val="20"/>
        </w:rPr>
        <w:t xml:space="preserve"> bereits beim deutschen Forschungsprojekt </w:t>
      </w:r>
      <w:proofErr w:type="spellStart"/>
      <w:r w:rsidRPr="00A07046">
        <w:rPr>
          <w:rFonts w:ascii="Segoe UI" w:hAnsi="Segoe UI"/>
          <w:sz w:val="20"/>
        </w:rPr>
        <w:t>TransHyDE</w:t>
      </w:r>
      <w:proofErr w:type="spellEnd"/>
      <w:r w:rsidRPr="00A07046">
        <w:rPr>
          <w:rFonts w:ascii="Segoe UI" w:hAnsi="Segoe UI"/>
          <w:sz w:val="20"/>
        </w:rPr>
        <w:t xml:space="preserve"> eingesetzt werden. Andere Länder werden in Kürze folgen.</w:t>
      </w:r>
    </w:p>
    <w:p w14:paraId="4A826126" w14:textId="77777777" w:rsidR="004A33C2" w:rsidRPr="00806892" w:rsidRDefault="004A33C2" w:rsidP="004A33C2">
      <w:pPr>
        <w:autoSpaceDE w:val="0"/>
        <w:autoSpaceDN w:val="0"/>
        <w:adjustRightInd w:val="0"/>
        <w:jc w:val="both"/>
        <w:rPr>
          <w:rFonts w:ascii="Segoe UI" w:hAnsi="Segoe UI" w:cs="Segoe UI"/>
          <w:color w:val="000000"/>
          <w:sz w:val="20"/>
          <w:szCs w:val="20"/>
        </w:rPr>
      </w:pPr>
    </w:p>
    <w:p w14:paraId="233F5032" w14:textId="5D6C46FA" w:rsidR="009933FA" w:rsidRPr="004A33C2" w:rsidRDefault="009933FA" w:rsidP="009933FA">
      <w:pPr>
        <w:pBdr>
          <w:top w:val="single" w:sz="4" w:space="5" w:color="auto"/>
        </w:pBdr>
        <w:spacing w:after="120"/>
        <w:rPr>
          <w:rFonts w:ascii="Segoe UI" w:hAnsi="Segoe UI" w:cs="Segoe UI"/>
          <w:b/>
          <w:bCs/>
          <w:color w:val="000000"/>
          <w:sz w:val="20"/>
          <w:szCs w:val="20"/>
        </w:rPr>
      </w:pPr>
      <w:proofErr w:type="spellStart"/>
      <w:r>
        <w:rPr>
          <w:rFonts w:ascii="Segoe UI" w:hAnsi="Segoe UI"/>
          <w:b/>
          <w:color w:val="000000"/>
          <w:sz w:val="20"/>
        </w:rPr>
        <w:t>Qmicro</w:t>
      </w:r>
      <w:proofErr w:type="spellEnd"/>
      <w:r>
        <w:rPr>
          <w:rFonts w:ascii="Segoe UI" w:hAnsi="Segoe UI"/>
          <w:b/>
          <w:color w:val="000000"/>
          <w:sz w:val="20"/>
        </w:rPr>
        <w:t xml:space="preserve"> von </w:t>
      </w:r>
      <w:proofErr w:type="spellStart"/>
      <w:r>
        <w:rPr>
          <w:rFonts w:ascii="Segoe UI" w:hAnsi="Segoe UI"/>
          <w:b/>
          <w:color w:val="000000"/>
          <w:sz w:val="20"/>
        </w:rPr>
        <w:t>Sensirion</w:t>
      </w:r>
      <w:proofErr w:type="spellEnd"/>
    </w:p>
    <w:p w14:paraId="03E07EC1" w14:textId="77777777" w:rsidR="00D17AB9" w:rsidRDefault="004A33C2" w:rsidP="00BD01C1">
      <w:pPr>
        <w:pBdr>
          <w:top w:val="single" w:sz="4" w:space="5" w:color="auto"/>
        </w:pBdr>
        <w:spacing w:after="120"/>
        <w:jc w:val="both"/>
        <w:rPr>
          <w:rFonts w:ascii="Segoe UI" w:hAnsi="Segoe UI"/>
          <w:color w:val="000000"/>
          <w:sz w:val="20"/>
        </w:rPr>
      </w:pPr>
      <w:proofErr w:type="spellStart"/>
      <w:r>
        <w:rPr>
          <w:rFonts w:ascii="Segoe UI" w:hAnsi="Segoe UI"/>
          <w:color w:val="000000"/>
          <w:sz w:val="20"/>
        </w:rPr>
        <w:t>Qmicro</w:t>
      </w:r>
      <w:proofErr w:type="spellEnd"/>
      <w:r>
        <w:rPr>
          <w:rFonts w:ascii="Segoe UI" w:hAnsi="Segoe UI"/>
          <w:color w:val="000000"/>
          <w:sz w:val="20"/>
        </w:rPr>
        <w:t xml:space="preserve"> bietet Hightechprodukte und -lösungen für die Online-Analyse der Gaszusammensetzung mit der </w:t>
      </w:r>
      <w:proofErr w:type="spellStart"/>
      <w:r>
        <w:rPr>
          <w:rFonts w:ascii="Segoe UI" w:hAnsi="Segoe UI"/>
          <w:color w:val="000000"/>
          <w:sz w:val="20"/>
        </w:rPr>
        <w:t>microGC</w:t>
      </w:r>
      <w:proofErr w:type="spellEnd"/>
      <w:r>
        <w:rPr>
          <w:rFonts w:ascii="Segoe UI" w:hAnsi="Segoe UI"/>
          <w:color w:val="000000"/>
          <w:sz w:val="20"/>
        </w:rPr>
        <w:t xml:space="preserve">-Chip-Technologie (MEMS). Anwendungsbereiche sind die industrielle Prozesssteuerung und die Automatisierung. Die von </w:t>
      </w:r>
      <w:proofErr w:type="spellStart"/>
      <w:r>
        <w:rPr>
          <w:rFonts w:ascii="Segoe UI" w:hAnsi="Segoe UI"/>
          <w:color w:val="000000"/>
          <w:sz w:val="20"/>
        </w:rPr>
        <w:t>Qmicros</w:t>
      </w:r>
      <w:proofErr w:type="spellEnd"/>
      <w:r>
        <w:rPr>
          <w:rFonts w:ascii="Segoe UI" w:hAnsi="Segoe UI"/>
          <w:color w:val="000000"/>
          <w:sz w:val="20"/>
        </w:rPr>
        <w:t xml:space="preserve"> entwickelte </w:t>
      </w:r>
      <w:proofErr w:type="spellStart"/>
      <w:r>
        <w:rPr>
          <w:rFonts w:ascii="Segoe UI" w:hAnsi="Segoe UI"/>
          <w:color w:val="000000"/>
          <w:sz w:val="20"/>
        </w:rPr>
        <w:t>microGC</w:t>
      </w:r>
      <w:proofErr w:type="spellEnd"/>
      <w:r>
        <w:rPr>
          <w:rFonts w:ascii="Segoe UI" w:hAnsi="Segoe UI"/>
          <w:color w:val="000000"/>
          <w:sz w:val="20"/>
        </w:rPr>
        <w:t>-Produktreihe für Gasanalysen „</w:t>
      </w:r>
      <w:proofErr w:type="spellStart"/>
      <w:r>
        <w:rPr>
          <w:rFonts w:ascii="Segoe UI" w:hAnsi="Segoe UI"/>
          <w:color w:val="000000"/>
          <w:sz w:val="20"/>
        </w:rPr>
        <w:t>DynamiQ</w:t>
      </w:r>
      <w:proofErr w:type="spellEnd"/>
      <w:r>
        <w:rPr>
          <w:rFonts w:ascii="Segoe UI" w:hAnsi="Segoe UI"/>
          <w:color w:val="000000"/>
          <w:sz w:val="20"/>
        </w:rPr>
        <w:t xml:space="preserve">“ umfasst Online-Gasüberwachungseinheiten, die für ausgewählte Kunden in anwendungsspezifischen Konfigurationen und Mengen bereitgestellt werden. Zu diesen Kunden zählen normalerweise Systemintegratoren, OEM und spezialisierte Vertriebspartner. So werden die Instrumente jeweils für eine spezifische Anwendung konfiguriert und dann als Analysegeräte für eben diese Anwendung verkauft. Seit 2021 gehört </w:t>
      </w:r>
      <w:proofErr w:type="spellStart"/>
      <w:r>
        <w:rPr>
          <w:rFonts w:ascii="Segoe UI" w:hAnsi="Segoe UI"/>
          <w:color w:val="000000"/>
          <w:sz w:val="20"/>
        </w:rPr>
        <w:t>Qmicro</w:t>
      </w:r>
      <w:proofErr w:type="spellEnd"/>
      <w:r>
        <w:rPr>
          <w:rFonts w:ascii="Segoe UI" w:hAnsi="Segoe UI"/>
          <w:color w:val="000000"/>
          <w:sz w:val="20"/>
        </w:rPr>
        <w:t xml:space="preserve"> zu </w:t>
      </w:r>
      <w:proofErr w:type="spellStart"/>
      <w:r>
        <w:rPr>
          <w:rFonts w:ascii="Segoe UI" w:hAnsi="Segoe UI"/>
          <w:color w:val="000000"/>
          <w:sz w:val="20"/>
        </w:rPr>
        <w:t>Sensirion</w:t>
      </w:r>
      <w:proofErr w:type="spellEnd"/>
      <w:r>
        <w:rPr>
          <w:rFonts w:ascii="Segoe UI" w:hAnsi="Segoe UI"/>
          <w:color w:val="000000"/>
          <w:sz w:val="20"/>
        </w:rPr>
        <w:t>.</w:t>
      </w:r>
    </w:p>
    <w:p w14:paraId="07B7F6BF" w14:textId="04C7E673" w:rsidR="00BE258E" w:rsidRDefault="00BE258E" w:rsidP="00BD01C1">
      <w:pPr>
        <w:pBdr>
          <w:top w:val="single" w:sz="4" w:space="5" w:color="auto"/>
        </w:pBdr>
        <w:spacing w:after="120"/>
        <w:jc w:val="both"/>
        <w:rPr>
          <w:rFonts w:ascii="Segoe UI" w:hAnsi="Segoe UI" w:cs="Segoe UI"/>
          <w:color w:val="000000"/>
          <w:sz w:val="20"/>
          <w:szCs w:val="20"/>
        </w:rPr>
      </w:pPr>
      <w:r w:rsidRPr="00BE258E">
        <w:rPr>
          <w:rFonts w:ascii="Segoe UI" w:hAnsi="Segoe UI" w:cs="Segoe UI"/>
          <w:color w:val="000000"/>
          <w:sz w:val="20"/>
          <w:szCs w:val="20"/>
        </w:rPr>
        <w:t xml:space="preserve">Die </w:t>
      </w:r>
      <w:proofErr w:type="spellStart"/>
      <w:r w:rsidRPr="00BE258E">
        <w:rPr>
          <w:rFonts w:ascii="Segoe UI" w:hAnsi="Segoe UI" w:cs="Segoe UI"/>
          <w:color w:val="000000"/>
          <w:sz w:val="20"/>
          <w:szCs w:val="20"/>
        </w:rPr>
        <w:t>Sensirion</w:t>
      </w:r>
      <w:proofErr w:type="spellEnd"/>
      <w:r w:rsidRPr="00BE258E">
        <w:rPr>
          <w:rFonts w:ascii="Segoe UI" w:hAnsi="Segoe UI" w:cs="Segoe UI"/>
          <w:color w:val="000000"/>
          <w:sz w:val="20"/>
          <w:szCs w:val="20"/>
        </w:rPr>
        <w:t xml:space="preserve"> AG mit Sitz im schweizerischen Stäfa ist einer der führenden Hersteller digitaler Mikrosensoren und -systeme. Die Produktpalette des Unternehmens umfasst Gas- und Flüssigkeitssensoren sowie Differenzdruck- und Umweltsensoren zur Messung von Temperatur und Feuchtigkeit, volatilen organischen Verbindungen (VOC), CO2, Formaldehyd und Feinstaub (PM2.5). Das Netzwerk mit Niederlassungen in den USA, Europa, China, Taiwan, Japan und Korea unterstützt Kunden sowohl mit Serienprodukten als auch massgeschneiderten Sensorsystemlösungen für verschiedenste Anwendungen. Sensoren von </w:t>
      </w:r>
      <w:proofErr w:type="spellStart"/>
      <w:r w:rsidRPr="00BE258E">
        <w:rPr>
          <w:rFonts w:ascii="Segoe UI" w:hAnsi="Segoe UI" w:cs="Segoe UI"/>
          <w:color w:val="000000"/>
          <w:sz w:val="20"/>
          <w:szCs w:val="20"/>
        </w:rPr>
        <w:t>Sensirion</w:t>
      </w:r>
      <w:proofErr w:type="spellEnd"/>
      <w:r w:rsidRPr="00BE258E">
        <w:rPr>
          <w:rFonts w:ascii="Segoe UI" w:hAnsi="Segoe UI" w:cs="Segoe UI"/>
          <w:color w:val="000000"/>
          <w:sz w:val="20"/>
          <w:szCs w:val="20"/>
        </w:rPr>
        <w:t xml:space="preserve"> finden sich häufig in Medizin-, Industrie- und Automobilanwendungen sowie in Analyseinstrumenten, in der Konsumgüterbranche und in Heizungs-, Lüftungs- und Klimageräten. Zu den Alleinstellungsmerkmalen der </w:t>
      </w:r>
      <w:proofErr w:type="spellStart"/>
      <w:r w:rsidRPr="00BE258E">
        <w:rPr>
          <w:rFonts w:ascii="Segoe UI" w:hAnsi="Segoe UI" w:cs="Segoe UI"/>
          <w:color w:val="000000"/>
          <w:sz w:val="20"/>
          <w:szCs w:val="20"/>
        </w:rPr>
        <w:t>Sensirion</w:t>
      </w:r>
      <w:proofErr w:type="spellEnd"/>
      <w:r w:rsidRPr="00BE258E">
        <w:rPr>
          <w:rFonts w:ascii="Segoe UI" w:hAnsi="Segoe UI" w:cs="Segoe UI"/>
          <w:color w:val="000000"/>
          <w:sz w:val="20"/>
          <w:szCs w:val="20"/>
        </w:rPr>
        <w:t xml:space="preserve">-Produkte gehört die patentierte </w:t>
      </w:r>
      <w:proofErr w:type="spellStart"/>
      <w:r w:rsidRPr="00BE258E">
        <w:rPr>
          <w:rFonts w:ascii="Segoe UI" w:hAnsi="Segoe UI" w:cs="Segoe UI"/>
          <w:color w:val="000000"/>
          <w:sz w:val="20"/>
          <w:szCs w:val="20"/>
        </w:rPr>
        <w:t>CMOSens</w:t>
      </w:r>
      <w:proofErr w:type="spellEnd"/>
      <w:r w:rsidRPr="00BE258E">
        <w:rPr>
          <w:rFonts w:ascii="Segoe UI" w:hAnsi="Segoe UI" w:cs="Segoe UI"/>
          <w:color w:val="000000"/>
          <w:sz w:val="20"/>
          <w:szCs w:val="20"/>
        </w:rPr>
        <w:t xml:space="preserve">® Technologie, welche eine intelligente Systemintegration von Sensorelement, Logik, Kalibrierungsdaten und einer digitalen Schnittstelle auf einem einzigen Chip ermöglicht. Die treue Kundenbasis mit vielen namhaften Kunden sowie das Qualitätsmanagement nach ISO/TS 16949 bestätigen </w:t>
      </w:r>
      <w:proofErr w:type="spellStart"/>
      <w:r w:rsidRPr="00BE258E">
        <w:rPr>
          <w:rFonts w:ascii="Segoe UI" w:hAnsi="Segoe UI" w:cs="Segoe UI"/>
          <w:color w:val="000000"/>
          <w:sz w:val="20"/>
          <w:szCs w:val="20"/>
        </w:rPr>
        <w:t>Sensirion</w:t>
      </w:r>
      <w:proofErr w:type="spellEnd"/>
      <w:r w:rsidRPr="00BE258E">
        <w:rPr>
          <w:rFonts w:ascii="Segoe UI" w:hAnsi="Segoe UI" w:cs="Segoe UI"/>
          <w:color w:val="000000"/>
          <w:sz w:val="20"/>
          <w:szCs w:val="20"/>
        </w:rPr>
        <w:t xml:space="preserve"> als zuverlässiges Sensorunternehmen.</w:t>
      </w:r>
    </w:p>
    <w:p w14:paraId="2A40A4D9" w14:textId="255D0540" w:rsidR="00BE258E" w:rsidRPr="002960BC" w:rsidRDefault="00BE258E" w:rsidP="00BD01C1">
      <w:pPr>
        <w:pBdr>
          <w:top w:val="single" w:sz="4" w:space="5" w:color="auto"/>
        </w:pBdr>
        <w:spacing w:after="120"/>
        <w:jc w:val="both"/>
        <w:rPr>
          <w:rFonts w:ascii="Segoe UI" w:hAnsi="Segoe UI" w:cs="Segoe UI"/>
          <w:color w:val="000000"/>
          <w:sz w:val="20"/>
          <w:szCs w:val="20"/>
        </w:rPr>
      </w:pPr>
      <w:r w:rsidRPr="00BE258E">
        <w:rPr>
          <w:rFonts w:ascii="Segoe UI" w:hAnsi="Segoe UI" w:cs="Segoe UI"/>
          <w:color w:val="000000"/>
          <w:sz w:val="20"/>
          <w:szCs w:val="20"/>
        </w:rPr>
        <w:t>www.qmicro.com</w:t>
      </w:r>
    </w:p>
    <w:sectPr w:rsidR="00BE258E" w:rsidRPr="002960BC" w:rsidSect="007573AA">
      <w:headerReference w:type="default" r:id="rId11"/>
      <w:pgSz w:w="11907" w:h="16840" w:code="9"/>
      <w:pgMar w:top="1134" w:right="1418" w:bottom="113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5C00" w14:textId="77777777" w:rsidR="00F53409" w:rsidRDefault="00F53409">
      <w:r>
        <w:separator/>
      </w:r>
    </w:p>
  </w:endnote>
  <w:endnote w:type="continuationSeparator" w:id="0">
    <w:p w14:paraId="158F1AC8" w14:textId="77777777" w:rsidR="00F53409" w:rsidRDefault="00F53409">
      <w:r>
        <w:continuationSeparator/>
      </w:r>
    </w:p>
  </w:endnote>
  <w:endnote w:type="continuationNotice" w:id="1">
    <w:p w14:paraId="489690CD" w14:textId="77777777" w:rsidR="00F53409" w:rsidRDefault="00F53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7D9E1" w14:textId="77777777" w:rsidR="00F53409" w:rsidRDefault="00F53409">
      <w:r>
        <w:separator/>
      </w:r>
    </w:p>
  </w:footnote>
  <w:footnote w:type="continuationSeparator" w:id="0">
    <w:p w14:paraId="0C3D9B94" w14:textId="77777777" w:rsidR="00F53409" w:rsidRDefault="00F53409">
      <w:r>
        <w:continuationSeparator/>
      </w:r>
    </w:p>
  </w:footnote>
  <w:footnote w:type="continuationNotice" w:id="1">
    <w:p w14:paraId="60EA0CB6" w14:textId="77777777" w:rsidR="00F53409" w:rsidRDefault="00F53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A0B" w14:textId="4B2573D6" w:rsidR="00CB4A79" w:rsidRPr="00E90737" w:rsidRDefault="00BE258E">
    <w:pPr>
      <w:pStyle w:val="Kopfzeile"/>
    </w:pPr>
    <w:r>
      <w:rPr>
        <w:noProof/>
      </w:rPr>
      <w:drawing>
        <wp:anchor distT="0" distB="0" distL="114300" distR="114300" simplePos="0" relativeHeight="251658240" behindDoc="0" locked="0" layoutInCell="1" allowOverlap="1" wp14:anchorId="4F7930EC" wp14:editId="7E6A9A6D">
          <wp:simplePos x="0" y="0"/>
          <wp:positionH relativeFrom="margin">
            <wp:align>right</wp:align>
          </wp:positionH>
          <wp:positionV relativeFrom="paragraph">
            <wp:posOffset>-266382</wp:posOffset>
          </wp:positionV>
          <wp:extent cx="1328420" cy="398145"/>
          <wp:effectExtent l="0" t="0" r="5080" b="1905"/>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8420" cy="398145"/>
                  </a:xfrm>
                  <a:prstGeom prst="rect">
                    <a:avLst/>
                  </a:prstGeom>
                  <a:noFill/>
                  <a:ln>
                    <a:noFill/>
                  </a:ln>
                </pic:spPr>
              </pic:pic>
            </a:graphicData>
          </a:graphic>
        </wp:anchor>
      </w:drawing>
    </w:r>
    <w:r w:rsidR="00CB4A79">
      <w:tab/>
    </w:r>
    <w:r w:rsidR="00CB4A79">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1NTWyMDE2MTc1MDVU0lEKTi0uzszPAykwrQUAZfWpWywAAAA="/>
  </w:docVars>
  <w:rsids>
    <w:rsidRoot w:val="00DD6D64"/>
    <w:rsid w:val="00002E97"/>
    <w:rsid w:val="00004A95"/>
    <w:rsid w:val="00006513"/>
    <w:rsid w:val="0008453B"/>
    <w:rsid w:val="00094950"/>
    <w:rsid w:val="000D0196"/>
    <w:rsid w:val="000F0044"/>
    <w:rsid w:val="001060CC"/>
    <w:rsid w:val="001214B1"/>
    <w:rsid w:val="00140630"/>
    <w:rsid w:val="0014661E"/>
    <w:rsid w:val="001500AB"/>
    <w:rsid w:val="00160682"/>
    <w:rsid w:val="00164850"/>
    <w:rsid w:val="00176F51"/>
    <w:rsid w:val="001A40D2"/>
    <w:rsid w:val="001B1B97"/>
    <w:rsid w:val="001B4EE5"/>
    <w:rsid w:val="001E516E"/>
    <w:rsid w:val="001F5F95"/>
    <w:rsid w:val="00204682"/>
    <w:rsid w:val="00214FE7"/>
    <w:rsid w:val="002171D1"/>
    <w:rsid w:val="00226365"/>
    <w:rsid w:val="00227E40"/>
    <w:rsid w:val="002372E9"/>
    <w:rsid w:val="00252B7B"/>
    <w:rsid w:val="0027260C"/>
    <w:rsid w:val="002960BC"/>
    <w:rsid w:val="002B1C9D"/>
    <w:rsid w:val="002C7A35"/>
    <w:rsid w:val="002E2B3A"/>
    <w:rsid w:val="002F54B5"/>
    <w:rsid w:val="002F5CE5"/>
    <w:rsid w:val="0030299F"/>
    <w:rsid w:val="00315B9F"/>
    <w:rsid w:val="003200BA"/>
    <w:rsid w:val="00325B7D"/>
    <w:rsid w:val="00331576"/>
    <w:rsid w:val="00335717"/>
    <w:rsid w:val="00341A87"/>
    <w:rsid w:val="00361DB8"/>
    <w:rsid w:val="00366CC7"/>
    <w:rsid w:val="0038111C"/>
    <w:rsid w:val="00381531"/>
    <w:rsid w:val="003A685B"/>
    <w:rsid w:val="003C45F9"/>
    <w:rsid w:val="003E26FE"/>
    <w:rsid w:val="003F0694"/>
    <w:rsid w:val="003F38E2"/>
    <w:rsid w:val="003F38F0"/>
    <w:rsid w:val="004161B0"/>
    <w:rsid w:val="00433964"/>
    <w:rsid w:val="00440299"/>
    <w:rsid w:val="0044413B"/>
    <w:rsid w:val="004739CA"/>
    <w:rsid w:val="00476224"/>
    <w:rsid w:val="0047781C"/>
    <w:rsid w:val="0048466A"/>
    <w:rsid w:val="00492454"/>
    <w:rsid w:val="00496B1D"/>
    <w:rsid w:val="004A33C2"/>
    <w:rsid w:val="004A3C64"/>
    <w:rsid w:val="004A4C6C"/>
    <w:rsid w:val="004C512C"/>
    <w:rsid w:val="004E400C"/>
    <w:rsid w:val="00525070"/>
    <w:rsid w:val="00546FA9"/>
    <w:rsid w:val="00556390"/>
    <w:rsid w:val="005641DD"/>
    <w:rsid w:val="0057509A"/>
    <w:rsid w:val="00577838"/>
    <w:rsid w:val="00585CE2"/>
    <w:rsid w:val="00596B3F"/>
    <w:rsid w:val="005A0BB8"/>
    <w:rsid w:val="005C43EB"/>
    <w:rsid w:val="005C5310"/>
    <w:rsid w:val="005C5ECF"/>
    <w:rsid w:val="00602594"/>
    <w:rsid w:val="00605BF7"/>
    <w:rsid w:val="0060715E"/>
    <w:rsid w:val="00615281"/>
    <w:rsid w:val="00616CC4"/>
    <w:rsid w:val="0061738D"/>
    <w:rsid w:val="006332E2"/>
    <w:rsid w:val="00637D7D"/>
    <w:rsid w:val="006618E9"/>
    <w:rsid w:val="00670AA9"/>
    <w:rsid w:val="00684D63"/>
    <w:rsid w:val="00694C0F"/>
    <w:rsid w:val="006A7E66"/>
    <w:rsid w:val="006B3A31"/>
    <w:rsid w:val="006C1F4A"/>
    <w:rsid w:val="006C72A4"/>
    <w:rsid w:val="00724B5B"/>
    <w:rsid w:val="00732342"/>
    <w:rsid w:val="00746113"/>
    <w:rsid w:val="007573AA"/>
    <w:rsid w:val="00766190"/>
    <w:rsid w:val="00770710"/>
    <w:rsid w:val="007D5F4F"/>
    <w:rsid w:val="007E576C"/>
    <w:rsid w:val="007F17D5"/>
    <w:rsid w:val="007F2891"/>
    <w:rsid w:val="007F6045"/>
    <w:rsid w:val="0080588A"/>
    <w:rsid w:val="00806892"/>
    <w:rsid w:val="00817626"/>
    <w:rsid w:val="00820CF5"/>
    <w:rsid w:val="008231DC"/>
    <w:rsid w:val="00830F0A"/>
    <w:rsid w:val="00835F01"/>
    <w:rsid w:val="00841ABB"/>
    <w:rsid w:val="008434A1"/>
    <w:rsid w:val="008634A8"/>
    <w:rsid w:val="00864EE0"/>
    <w:rsid w:val="00867473"/>
    <w:rsid w:val="008808D2"/>
    <w:rsid w:val="008822DC"/>
    <w:rsid w:val="00885743"/>
    <w:rsid w:val="008909DD"/>
    <w:rsid w:val="008B0BFD"/>
    <w:rsid w:val="008B1CFD"/>
    <w:rsid w:val="008B6260"/>
    <w:rsid w:val="008C0341"/>
    <w:rsid w:val="008C7923"/>
    <w:rsid w:val="008E4D0D"/>
    <w:rsid w:val="008E7C7A"/>
    <w:rsid w:val="0090392E"/>
    <w:rsid w:val="009160CD"/>
    <w:rsid w:val="009169F1"/>
    <w:rsid w:val="0092314D"/>
    <w:rsid w:val="00925145"/>
    <w:rsid w:val="009332ED"/>
    <w:rsid w:val="009416CC"/>
    <w:rsid w:val="009502C3"/>
    <w:rsid w:val="009755D7"/>
    <w:rsid w:val="0097744C"/>
    <w:rsid w:val="00981635"/>
    <w:rsid w:val="009933FA"/>
    <w:rsid w:val="009A182D"/>
    <w:rsid w:val="009D1AB7"/>
    <w:rsid w:val="009E52B9"/>
    <w:rsid w:val="009F041E"/>
    <w:rsid w:val="009F4242"/>
    <w:rsid w:val="00A065AF"/>
    <w:rsid w:val="00A07046"/>
    <w:rsid w:val="00A07525"/>
    <w:rsid w:val="00A20E99"/>
    <w:rsid w:val="00A23106"/>
    <w:rsid w:val="00A25E42"/>
    <w:rsid w:val="00A35DD1"/>
    <w:rsid w:val="00A42298"/>
    <w:rsid w:val="00A42FC0"/>
    <w:rsid w:val="00A44856"/>
    <w:rsid w:val="00A4647F"/>
    <w:rsid w:val="00A468A6"/>
    <w:rsid w:val="00A9708A"/>
    <w:rsid w:val="00AA3D34"/>
    <w:rsid w:val="00AB2865"/>
    <w:rsid w:val="00AB3B4C"/>
    <w:rsid w:val="00AB41C4"/>
    <w:rsid w:val="00AD4AAE"/>
    <w:rsid w:val="00AD5B8F"/>
    <w:rsid w:val="00AE3CD4"/>
    <w:rsid w:val="00AF3B9D"/>
    <w:rsid w:val="00B0082F"/>
    <w:rsid w:val="00B1070D"/>
    <w:rsid w:val="00B30743"/>
    <w:rsid w:val="00B64300"/>
    <w:rsid w:val="00B94BD5"/>
    <w:rsid w:val="00BB2BB5"/>
    <w:rsid w:val="00BB34BF"/>
    <w:rsid w:val="00BD01C1"/>
    <w:rsid w:val="00BD25E6"/>
    <w:rsid w:val="00BE121C"/>
    <w:rsid w:val="00BE258E"/>
    <w:rsid w:val="00BF14FA"/>
    <w:rsid w:val="00BF508C"/>
    <w:rsid w:val="00BF686F"/>
    <w:rsid w:val="00C03174"/>
    <w:rsid w:val="00C11983"/>
    <w:rsid w:val="00C32A4F"/>
    <w:rsid w:val="00C42057"/>
    <w:rsid w:val="00C4368A"/>
    <w:rsid w:val="00C46427"/>
    <w:rsid w:val="00C46C48"/>
    <w:rsid w:val="00C5779D"/>
    <w:rsid w:val="00C61A94"/>
    <w:rsid w:val="00C9796F"/>
    <w:rsid w:val="00CB4A79"/>
    <w:rsid w:val="00CD4E7C"/>
    <w:rsid w:val="00CD53C0"/>
    <w:rsid w:val="00CE27D5"/>
    <w:rsid w:val="00D0354C"/>
    <w:rsid w:val="00D0428B"/>
    <w:rsid w:val="00D17AB9"/>
    <w:rsid w:val="00D53A40"/>
    <w:rsid w:val="00D574B7"/>
    <w:rsid w:val="00D75057"/>
    <w:rsid w:val="00D90283"/>
    <w:rsid w:val="00D90C4C"/>
    <w:rsid w:val="00D91B88"/>
    <w:rsid w:val="00DA081D"/>
    <w:rsid w:val="00DA0E07"/>
    <w:rsid w:val="00DD6D64"/>
    <w:rsid w:val="00DE2DB1"/>
    <w:rsid w:val="00E02E19"/>
    <w:rsid w:val="00E2065E"/>
    <w:rsid w:val="00E241D3"/>
    <w:rsid w:val="00E27B20"/>
    <w:rsid w:val="00E37DBC"/>
    <w:rsid w:val="00E53FFF"/>
    <w:rsid w:val="00E75682"/>
    <w:rsid w:val="00E80DD7"/>
    <w:rsid w:val="00E90737"/>
    <w:rsid w:val="00E9090B"/>
    <w:rsid w:val="00EB1E71"/>
    <w:rsid w:val="00EB4B54"/>
    <w:rsid w:val="00EC4DF5"/>
    <w:rsid w:val="00ED3E9A"/>
    <w:rsid w:val="00EE1A31"/>
    <w:rsid w:val="00EE59E9"/>
    <w:rsid w:val="00F03806"/>
    <w:rsid w:val="00F07089"/>
    <w:rsid w:val="00F12F13"/>
    <w:rsid w:val="00F2035B"/>
    <w:rsid w:val="00F21A7F"/>
    <w:rsid w:val="00F23B3F"/>
    <w:rsid w:val="00F35D58"/>
    <w:rsid w:val="00F37BBD"/>
    <w:rsid w:val="00F42CA5"/>
    <w:rsid w:val="00F44EF5"/>
    <w:rsid w:val="00F47CB9"/>
    <w:rsid w:val="00F52652"/>
    <w:rsid w:val="00F53409"/>
    <w:rsid w:val="00F747EA"/>
    <w:rsid w:val="00F8317F"/>
    <w:rsid w:val="00F900F9"/>
    <w:rsid w:val="00F97030"/>
    <w:rsid w:val="00F97C3E"/>
    <w:rsid w:val="00FC6366"/>
    <w:rsid w:val="00FC7873"/>
    <w:rsid w:val="00FF1D02"/>
    <w:rsid w:val="00FF319B"/>
    <w:rsid w:val="00FF76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A2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D6D64"/>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DD6D64"/>
    <w:rPr>
      <w:rFonts w:ascii="Tahoma" w:hAnsi="Tahoma" w:cs="Tahoma"/>
      <w:sz w:val="16"/>
      <w:szCs w:val="16"/>
    </w:rPr>
  </w:style>
  <w:style w:type="character" w:styleId="Hyperlink">
    <w:name w:val="Hyperlink"/>
    <w:basedOn w:val="Absatz-Standardschriftart"/>
    <w:rsid w:val="00DD6D64"/>
    <w:rPr>
      <w:color w:val="0000FF"/>
      <w:u w:val="single"/>
    </w:rPr>
  </w:style>
  <w:style w:type="character" w:styleId="Kommentarzeichen">
    <w:name w:val="annotation reference"/>
    <w:basedOn w:val="Absatz-Standardschriftart"/>
    <w:semiHidden/>
    <w:rsid w:val="00D75057"/>
    <w:rPr>
      <w:sz w:val="16"/>
      <w:szCs w:val="16"/>
    </w:rPr>
  </w:style>
  <w:style w:type="paragraph" w:styleId="Kommentartext">
    <w:name w:val="annotation text"/>
    <w:basedOn w:val="Standard"/>
    <w:semiHidden/>
    <w:rsid w:val="00D75057"/>
    <w:rPr>
      <w:sz w:val="20"/>
      <w:szCs w:val="20"/>
    </w:rPr>
  </w:style>
  <w:style w:type="paragraph" w:styleId="Kommentarthema">
    <w:name w:val="annotation subject"/>
    <w:basedOn w:val="Kommentartext"/>
    <w:next w:val="Kommentartext"/>
    <w:semiHidden/>
    <w:rsid w:val="00D75057"/>
    <w:rPr>
      <w:b/>
      <w:bCs/>
    </w:rPr>
  </w:style>
  <w:style w:type="paragraph" w:styleId="Kopfzeile">
    <w:name w:val="header"/>
    <w:basedOn w:val="Standard"/>
    <w:rsid w:val="00E90737"/>
    <w:pPr>
      <w:tabs>
        <w:tab w:val="center" w:pos="4536"/>
        <w:tab w:val="right" w:pos="9072"/>
      </w:tabs>
    </w:pPr>
  </w:style>
  <w:style w:type="paragraph" w:styleId="Fuzeile">
    <w:name w:val="footer"/>
    <w:basedOn w:val="Standard"/>
    <w:rsid w:val="00E90737"/>
    <w:pPr>
      <w:tabs>
        <w:tab w:val="center" w:pos="4536"/>
        <w:tab w:val="right" w:pos="9072"/>
      </w:tabs>
    </w:pPr>
  </w:style>
  <w:style w:type="character" w:styleId="Fett">
    <w:name w:val="Strong"/>
    <w:basedOn w:val="Absatz-Standardschriftart"/>
    <w:uiPriority w:val="22"/>
    <w:qFormat/>
    <w:rsid w:val="005C43EB"/>
    <w:rPr>
      <w:b/>
      <w:bCs/>
    </w:rPr>
  </w:style>
  <w:style w:type="paragraph" w:customStyle="1" w:styleId="paragraph">
    <w:name w:val="paragraph"/>
    <w:basedOn w:val="Standard"/>
    <w:rsid w:val="00A07046"/>
    <w:pPr>
      <w:spacing w:before="100" w:beforeAutospacing="1" w:after="100" w:afterAutospacing="1"/>
    </w:pPr>
    <w:rPr>
      <w:lang w:eastAsia="zh-CN"/>
    </w:rPr>
  </w:style>
  <w:style w:type="character" w:customStyle="1" w:styleId="normaltextrun">
    <w:name w:val="normaltextrun"/>
    <w:basedOn w:val="Absatz-Standardschriftart"/>
    <w:rsid w:val="00A07046"/>
  </w:style>
  <w:style w:type="character" w:customStyle="1" w:styleId="eop">
    <w:name w:val="eop"/>
    <w:basedOn w:val="Absatz-Standardschriftart"/>
    <w:rsid w:val="00A07046"/>
  </w:style>
  <w:style w:type="character" w:customStyle="1" w:styleId="spellingerrorsuperscript">
    <w:name w:val="spellingerrorsuperscript"/>
    <w:basedOn w:val="Absatz-Standardschriftart"/>
    <w:rsid w:val="00A07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13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6" ma:contentTypeDescription="Create a new document." ma:contentTypeScope="" ma:versionID="11176ce288f4c3b5b87fb6e989a50c42">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836759dddda49b21af99071c84ed643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1B793-ED4D-4BC4-97A9-FF28264B4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C7C76E-27CC-4AAC-AC12-68C35D5EC35B}">
  <ds:schemaRefs>
    <ds:schemaRef ds:uri="http://schemas.microsoft.com/sharepoint/v3/contenttype/forms"/>
  </ds:schemaRefs>
</ds:datastoreItem>
</file>

<file path=customXml/itemProps3.xml><?xml version="1.0" encoding="utf-8"?>
<ds:datastoreItem xmlns:ds="http://schemas.openxmlformats.org/officeDocument/2006/customXml" ds:itemID="{41D40D66-473B-4B51-A7DA-74E91F6BAD10}">
  <ds:schemaRefs>
    <ds:schemaRef ds:uri="http://schemas.microsoft.com/office/2006/metadata/properties"/>
    <ds:schemaRef ds:uri="b1fe39c8-28e8-4fc2-89c1-b80381c4dc8f"/>
    <ds:schemaRef ds:uri="22226ec7-1124-4a59-96a7-46494b53e4e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BF0FCF1E-A480-45A2-9C0D-48B6CB1E7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2022-04-12T09:13:00Z</dcterms:created>
  <dcterms:modified xsi:type="dcterms:W3CDTF">2022-04-12T09:13:00Z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ies>
</file>