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F0971" w14:textId="77777777" w:rsidR="0069109E" w:rsidRPr="0069109E" w:rsidRDefault="0069109E" w:rsidP="0069109E">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b/>
          <w:color w:val="000000"/>
          <w:sz w:val="20"/>
        </w:rPr>
        <w:t>Medienmitteilung</w:t>
      </w:r>
      <w:r>
        <w:rPr>
          <w:rStyle w:val="eop"/>
          <w:rFonts w:ascii="Segoe UI" w:hAnsi="Segoe UI"/>
          <w:color w:val="000000"/>
          <w:sz w:val="20"/>
        </w:rPr>
        <w:t> </w:t>
      </w:r>
    </w:p>
    <w:p w14:paraId="4939EE45" w14:textId="72373266" w:rsidR="0069109E" w:rsidRPr="0069109E" w:rsidRDefault="00106CDA" w:rsidP="0069109E">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olor w:val="000000"/>
          <w:sz w:val="20"/>
        </w:rPr>
        <w:t>August 2022, Sensirion AG, 8712 Stäfa, Schweiz</w:t>
      </w:r>
      <w:r>
        <w:rPr>
          <w:rStyle w:val="eop"/>
          <w:rFonts w:ascii="Segoe UI" w:hAnsi="Segoe UI"/>
          <w:color w:val="000000"/>
          <w:sz w:val="20"/>
        </w:rPr>
        <w:t> </w:t>
      </w:r>
    </w:p>
    <w:p w14:paraId="4E76AC13" w14:textId="77777777" w:rsidR="0069109E" w:rsidRPr="0069109E" w:rsidRDefault="0069109E" w:rsidP="0069109E">
      <w:pPr>
        <w:pStyle w:val="paragraph"/>
        <w:spacing w:before="0" w:beforeAutospacing="0" w:after="0" w:afterAutospacing="0"/>
        <w:textAlignment w:val="baseline"/>
        <w:rPr>
          <w:rFonts w:ascii="Segoe UI" w:hAnsi="Segoe UI" w:cs="Segoe UI"/>
          <w:sz w:val="18"/>
          <w:szCs w:val="18"/>
        </w:rPr>
      </w:pPr>
      <w:r>
        <w:rPr>
          <w:rStyle w:val="eop"/>
          <w:rFonts w:ascii="Segoe UI" w:hAnsi="Segoe UI"/>
          <w:color w:val="000000"/>
          <w:sz w:val="20"/>
        </w:rPr>
        <w:t> </w:t>
      </w:r>
    </w:p>
    <w:p w14:paraId="39B43B08" w14:textId="4213AB99" w:rsidR="0069109E" w:rsidRPr="00ED6E32" w:rsidRDefault="00506829" w:rsidP="298382F2">
      <w:pPr>
        <w:pStyle w:val="paragraph"/>
        <w:spacing w:before="0" w:beforeAutospacing="0" w:after="0" w:afterAutospacing="0"/>
        <w:jc w:val="both"/>
        <w:textAlignment w:val="baseline"/>
        <w:rPr>
          <w:rFonts w:ascii="Segoe UI" w:hAnsi="Segoe UI" w:cs="Segoe UI"/>
          <w:sz w:val="18"/>
          <w:szCs w:val="18"/>
        </w:rPr>
      </w:pPr>
      <w:r>
        <w:rPr>
          <w:rStyle w:val="normaltextrun"/>
          <w:rFonts w:ascii="Segoe UI" w:hAnsi="Segoe UI"/>
          <w:b/>
          <w:color w:val="000000" w:themeColor="text1"/>
          <w:sz w:val="28"/>
        </w:rPr>
        <w:t>Die neuen Gaschromatographen DynamiQ-X NG2210 und NG2220 für die Online-Erdgasanalyse erobern den Markt</w:t>
      </w:r>
      <w:r>
        <w:rPr>
          <w:rStyle w:val="eop"/>
          <w:rFonts w:ascii="Segoe UI" w:hAnsi="Segoe UI"/>
          <w:color w:val="000000" w:themeColor="text1"/>
          <w:sz w:val="28"/>
        </w:rPr>
        <w:t> </w:t>
      </w:r>
    </w:p>
    <w:p w14:paraId="7AB6B0F7" w14:textId="77777777" w:rsidR="0011471F" w:rsidRDefault="0069109E" w:rsidP="0069109E">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sz w:val="22"/>
        </w:rPr>
        <w:t> </w:t>
      </w:r>
    </w:p>
    <w:p w14:paraId="6B8BDFA8" w14:textId="519192CF" w:rsidR="002B1A4F" w:rsidRPr="00ED6E32" w:rsidRDefault="009F53F6" w:rsidP="0069109E">
      <w:pPr>
        <w:pStyle w:val="paragraph"/>
        <w:spacing w:before="0" w:beforeAutospacing="0" w:after="0" w:afterAutospacing="0"/>
        <w:jc w:val="both"/>
        <w:textAlignment w:val="baseline"/>
        <w:rPr>
          <w:rFonts w:ascii="Segoe UI" w:hAnsi="Segoe UI" w:cs="Segoe UI"/>
          <w:sz w:val="18"/>
          <w:szCs w:val="18"/>
        </w:rPr>
      </w:pPr>
      <w:r>
        <w:rPr>
          <w:rStyle w:val="normaltextrun"/>
          <w:rFonts w:ascii="Segoe UI" w:hAnsi="Segoe UI"/>
          <w:b/>
          <w:sz w:val="22"/>
        </w:rPr>
        <w:t>Unendlich viele Möglichkeiten – extrem kompaktes Design</w:t>
      </w:r>
    </w:p>
    <w:p w14:paraId="0106E256" w14:textId="26576357" w:rsidR="005F58CF" w:rsidRDefault="00E8215B" w:rsidP="298382F2">
      <w:pPr>
        <w:pStyle w:val="paragraph"/>
        <w:spacing w:before="0" w:beforeAutospacing="0" w:after="0" w:afterAutospacing="0"/>
        <w:jc w:val="both"/>
        <w:textAlignment w:val="baseline"/>
        <w:rPr>
          <w:rStyle w:val="normaltextrun"/>
          <w:rFonts w:ascii="Segoe UI" w:hAnsi="Segoe UI" w:cs="Segoe UI"/>
          <w:sz w:val="20"/>
          <w:szCs w:val="20"/>
        </w:rPr>
      </w:pPr>
      <w:r>
        <w:rPr>
          <w:rStyle w:val="normaltextrun"/>
          <w:rFonts w:ascii="Segoe UI" w:hAnsi="Segoe UI"/>
          <w:sz w:val="20"/>
        </w:rPr>
        <w:t>Mit dem neuen Gasanalysator DynamiQ-X NG2210 lässt sich Erdgas schnell und präzise online überwachen. Zudem liefert er Brennwerte für die Zusammensetzungskontrolle und den eichpflichtigen Verkehr. Mittlerweile führt der DynamiQ-X NG2220 dieselbe Analyse für wasserstoffhaltiges Erdgas mit Konzentrationen von bis zu 20 % durch, wobei nur ein Trägergas zur Anwendung kommt. DynamiQ-X NG2210 und DynamiQ-X NG2220 können an vielen Stellen der Erdgasinfrastruktur integriert werden, z. B. in Erdgas-Citygate-Stationen, Mischstationen, Erdgasaufbereitungsstationen, Offshore-Systemen und Power-to-Gas-Systemen.</w:t>
      </w:r>
    </w:p>
    <w:p w14:paraId="28A1F427" w14:textId="62D0FD9A" w:rsidR="00E8215B" w:rsidRDefault="00AF6F06" w:rsidP="298382F2">
      <w:pPr>
        <w:pStyle w:val="paragraph"/>
        <w:spacing w:before="0" w:beforeAutospacing="0" w:after="0" w:afterAutospacing="0"/>
        <w:jc w:val="both"/>
        <w:rPr>
          <w:rStyle w:val="normaltextrun"/>
          <w:rFonts w:ascii="Segoe UI" w:hAnsi="Segoe UI" w:cs="Segoe UI"/>
          <w:sz w:val="20"/>
          <w:szCs w:val="20"/>
        </w:rPr>
      </w:pPr>
      <w:r>
        <w:rPr>
          <w:rStyle w:val="normaltextrun"/>
          <w:rFonts w:ascii="Segoe UI" w:hAnsi="Segoe UI"/>
          <w:sz w:val="20"/>
        </w:rPr>
        <w:t>Mit einem Volumen von nur 10 l und einem Gewicht von weniger als 15 kg lassen sich die Geräte leicht transportieren. Sofern Strom und Gasflaschen vor Ort verfügbar sind, können sie überall für Analysen eingesetzt werden.</w:t>
      </w:r>
    </w:p>
    <w:p w14:paraId="436A43D8" w14:textId="49D01A92" w:rsidR="005F58CF" w:rsidRPr="006B7745" w:rsidRDefault="005F58CF" w:rsidP="0069109E">
      <w:pPr>
        <w:pStyle w:val="paragraph"/>
        <w:spacing w:before="0" w:beforeAutospacing="0" w:after="0" w:afterAutospacing="0"/>
        <w:jc w:val="both"/>
        <w:textAlignment w:val="baseline"/>
        <w:rPr>
          <w:rStyle w:val="normaltextrun"/>
          <w:rFonts w:ascii="Segoe UI" w:hAnsi="Segoe UI" w:cs="Segoe UI"/>
          <w:sz w:val="20"/>
          <w:szCs w:val="20"/>
          <w:lang w:val="de-DE"/>
        </w:rPr>
      </w:pPr>
    </w:p>
    <w:p w14:paraId="023A78FB" w14:textId="0B2490C3" w:rsidR="005F58CF" w:rsidRDefault="00522F2A" w:rsidP="005F58CF">
      <w:pPr>
        <w:pStyle w:val="paragraph"/>
        <w:spacing w:before="0" w:beforeAutospacing="0" w:after="0" w:afterAutospacing="0"/>
        <w:jc w:val="both"/>
        <w:textAlignment w:val="baseline"/>
        <w:rPr>
          <w:rStyle w:val="normaltextrun"/>
          <w:rFonts w:ascii="Segoe UI" w:hAnsi="Segoe UI" w:cs="Segoe UI"/>
          <w:b/>
          <w:bCs/>
          <w:sz w:val="22"/>
          <w:szCs w:val="22"/>
        </w:rPr>
      </w:pPr>
      <w:r>
        <w:rPr>
          <w:rStyle w:val="normaltextrun"/>
          <w:rFonts w:ascii="Segoe UI" w:hAnsi="Segoe UI"/>
          <w:b/>
          <w:sz w:val="22"/>
        </w:rPr>
        <w:t>Schnelle und präzise Gasanalysatoren</w:t>
      </w:r>
    </w:p>
    <w:p w14:paraId="4F981CD8" w14:textId="5B57F685" w:rsidR="005F58CF" w:rsidRDefault="00266921" w:rsidP="2233DCAD">
      <w:pPr>
        <w:pStyle w:val="paragraph"/>
        <w:spacing w:before="0" w:beforeAutospacing="0" w:after="0" w:afterAutospacing="0"/>
        <w:jc w:val="both"/>
        <w:textAlignment w:val="baseline"/>
        <w:rPr>
          <w:rStyle w:val="normaltextrun"/>
          <w:rFonts w:ascii="Segoe UI" w:hAnsi="Segoe UI" w:cs="Segoe UI"/>
          <w:sz w:val="20"/>
          <w:szCs w:val="20"/>
        </w:rPr>
      </w:pPr>
      <w:r>
        <w:rPr>
          <w:rStyle w:val="normaltextrun"/>
          <w:rFonts w:ascii="Segoe UI" w:hAnsi="Segoe UI"/>
          <w:sz w:val="20"/>
        </w:rPr>
        <w:t>In den Geräten können zwei oder drei parallel arbeitende Gaschromatographen (GC) untergebracht werden, die unter individuell optimierten Bedingungen unterschiedliche GC-Analysen durchführen. Jede GC-Einheit ist mit einer hochmodernen mikrochipbasierten Einspritzdüse und einem Wärmeleitfähigkeitsdetektor (TCD) ausgestattet. Darüber hinaus verfügt sie über eine bewährte Microbore-GC-Säule und ist auf optimale Chromatographiebedingungen eingestellt. Aufgrund dieser Konfiguration ist das Instrument sehr präzise und die Analysezeit beträgt weniger als eine Minute.</w:t>
      </w:r>
    </w:p>
    <w:p w14:paraId="3536CCC8" w14:textId="125AE043" w:rsidR="004A7480" w:rsidRPr="006B7745" w:rsidRDefault="004A7480" w:rsidP="27D386DB">
      <w:pPr>
        <w:pStyle w:val="paragraph"/>
        <w:spacing w:before="0" w:beforeAutospacing="0" w:after="0" w:afterAutospacing="0"/>
        <w:jc w:val="both"/>
        <w:textAlignment w:val="baseline"/>
        <w:rPr>
          <w:rStyle w:val="normaltextrun"/>
          <w:rFonts w:ascii="Segoe UI" w:hAnsi="Segoe UI" w:cs="Segoe UI"/>
          <w:sz w:val="20"/>
          <w:szCs w:val="20"/>
          <w:lang w:val="de-DE"/>
        </w:rPr>
      </w:pPr>
    </w:p>
    <w:p w14:paraId="74CBFA5C" w14:textId="77777777" w:rsidR="004A7480" w:rsidRDefault="004A7480" w:rsidP="004A7480">
      <w:pPr>
        <w:spacing w:after="0" w:line="240" w:lineRule="auto"/>
        <w:jc w:val="both"/>
        <w:rPr>
          <w:rStyle w:val="normaltextrun"/>
          <w:rFonts w:ascii="Segoe UI" w:hAnsi="Segoe UI" w:cs="Segoe UI"/>
          <w:b/>
          <w:bCs/>
        </w:rPr>
      </w:pPr>
      <w:r>
        <w:rPr>
          <w:rStyle w:val="normaltextrun"/>
          <w:rFonts w:ascii="Segoe UI" w:hAnsi="Segoe UI"/>
          <w:b/>
        </w:rPr>
        <w:t>Autonom, aber einfach in der Wartung</w:t>
      </w:r>
    </w:p>
    <w:p w14:paraId="5050958E" w14:textId="47357483" w:rsidR="004A7480" w:rsidRDefault="004A7480" w:rsidP="004A7480">
      <w:pPr>
        <w:spacing w:after="0" w:line="240" w:lineRule="auto"/>
        <w:jc w:val="both"/>
        <w:rPr>
          <w:rStyle w:val="normaltextrun"/>
          <w:rFonts w:ascii="Segoe UI" w:eastAsia="Times New Roman" w:hAnsi="Segoe UI" w:cs="Segoe UI"/>
          <w:sz w:val="20"/>
          <w:szCs w:val="20"/>
        </w:rPr>
      </w:pPr>
      <w:r>
        <w:rPr>
          <w:rStyle w:val="normaltextrun"/>
          <w:rFonts w:ascii="Segoe UI" w:hAnsi="Segoe UI"/>
          <w:sz w:val="20"/>
        </w:rPr>
        <w:t xml:space="preserve">DynamiQ-X ist als autonomes Arbeitsinstrument konzipiert. Der integrierte Prozessor befindet sich auf einer zukunftssicheren Plattform, wodurch eine kontinuierliche Überwachung gewährleistet ist. Das Instrument enthält eine leicht austauschbare GC-Kartusche, die eine schnelle lokale Wartung gewährleistet. Ferner kann der Analysator an jedem beliebigen Ort über eine Netzwerkverbindung an einen PC angeschlossen werden.  </w:t>
      </w:r>
    </w:p>
    <w:p w14:paraId="63865F6A" w14:textId="77777777" w:rsidR="00E92779" w:rsidRPr="006B7745" w:rsidRDefault="00E92779" w:rsidP="00116AAE">
      <w:pPr>
        <w:pStyle w:val="paragraph"/>
        <w:spacing w:before="0" w:beforeAutospacing="0" w:after="0" w:afterAutospacing="0"/>
        <w:jc w:val="both"/>
        <w:textAlignment w:val="baseline"/>
        <w:rPr>
          <w:rFonts w:ascii="Segoe UI" w:hAnsi="Segoe UI" w:cs="Segoe UI"/>
          <w:sz w:val="18"/>
          <w:szCs w:val="18"/>
          <w:lang w:val="de-DE"/>
        </w:rPr>
      </w:pPr>
    </w:p>
    <w:p w14:paraId="10C938A8" w14:textId="343EE5B9" w:rsidR="00EB5EF5" w:rsidRPr="00EB5EF5" w:rsidRDefault="00EB5EF5" w:rsidP="00EB5EF5">
      <w:pPr>
        <w:pStyle w:val="paragraph"/>
        <w:spacing w:before="0" w:beforeAutospacing="0" w:after="0" w:afterAutospacing="0"/>
        <w:jc w:val="both"/>
        <w:textAlignment w:val="baseline"/>
        <w:rPr>
          <w:rFonts w:ascii="Segoe UI" w:hAnsi="Segoe UI" w:cs="Segoe UI"/>
          <w:b/>
          <w:bCs/>
          <w:sz w:val="22"/>
          <w:szCs w:val="22"/>
        </w:rPr>
      </w:pPr>
      <w:r>
        <w:rPr>
          <w:rStyle w:val="eop"/>
          <w:rFonts w:ascii="Segoe UI" w:hAnsi="Segoe UI"/>
          <w:b/>
          <w:sz w:val="22"/>
        </w:rPr>
        <w:t xml:space="preserve">Eine nachhaltige Zukunft für die Gasindustrie </w:t>
      </w:r>
    </w:p>
    <w:p w14:paraId="4194E7B2" w14:textId="3DB286D4" w:rsidR="00FF076B" w:rsidRDefault="00F572A1" w:rsidP="00FF076B">
      <w:pPr>
        <w:widowControl w:val="0"/>
        <w:autoSpaceDE w:val="0"/>
        <w:autoSpaceDN w:val="0"/>
        <w:adjustRightInd w:val="0"/>
        <w:spacing w:before="35" w:after="0" w:line="240" w:lineRule="auto"/>
        <w:ind w:right="46"/>
        <w:jc w:val="both"/>
        <w:rPr>
          <w:rStyle w:val="normaltextrun"/>
          <w:rFonts w:ascii="Segoe UI" w:eastAsia="Times New Roman" w:hAnsi="Segoe UI" w:cs="Segoe UI"/>
          <w:sz w:val="20"/>
          <w:szCs w:val="20"/>
        </w:rPr>
      </w:pPr>
      <w:r>
        <w:rPr>
          <w:rStyle w:val="normaltextrun"/>
          <w:rFonts w:ascii="Segoe UI" w:hAnsi="Segoe UI"/>
          <w:sz w:val="20"/>
        </w:rPr>
        <w:t>Nachhaltigkeit und die Umsetzung der Energiewende spielen heute weltweit eine wichtige Rolle. Qmicro by Sensirion hat daher die Analysatoren DynamiQ-X NG2210 und NG2220 entwickelt: Diese Geräte sollen die Möglichkeiten der Gasanalyse erweitern, grüne Gase untersuchen und die Gesamtbetriebskosten für Gasversorger minimieren. Die Fähigkeit der Analysatoren, Daten für mindestens zwei Jahre zu speichern, erleichtert auch die Einhaltung der gesetzlichen Vorschriften und ermöglicht eine Beobachtung von Langzeittrends.</w:t>
      </w:r>
    </w:p>
    <w:p w14:paraId="3E193891" w14:textId="77777777" w:rsidR="00EF1F8A" w:rsidRPr="006B7745" w:rsidRDefault="00EF1F8A" w:rsidP="008E5881">
      <w:pPr>
        <w:spacing w:after="0" w:line="240" w:lineRule="auto"/>
        <w:jc w:val="both"/>
        <w:textAlignment w:val="baseline"/>
        <w:rPr>
          <w:rStyle w:val="normaltextrun"/>
          <w:sz w:val="20"/>
          <w:szCs w:val="20"/>
          <w:lang w:val="de-DE"/>
        </w:rPr>
      </w:pPr>
    </w:p>
    <w:p w14:paraId="0224A6DE" w14:textId="6A4351E6" w:rsidR="00A40BAF" w:rsidRDefault="00A40BAF" w:rsidP="00667306">
      <w:pPr>
        <w:widowControl w:val="0"/>
        <w:autoSpaceDE w:val="0"/>
        <w:autoSpaceDN w:val="0"/>
        <w:adjustRightInd w:val="0"/>
        <w:spacing w:before="35" w:after="0" w:line="240" w:lineRule="auto"/>
        <w:ind w:right="46"/>
        <w:jc w:val="both"/>
        <w:rPr>
          <w:rFonts w:ascii="General Grotesque" w:hAnsi="General Grotesque" w:cs="General Grotesque"/>
          <w:b/>
          <w:bCs/>
          <w:color w:val="373535"/>
          <w:sz w:val="17"/>
          <w:szCs w:val="17"/>
        </w:rPr>
      </w:pPr>
      <w:r>
        <w:rPr>
          <w:rStyle w:val="normaltextrun"/>
          <w:rFonts w:ascii="Segoe UI" w:hAnsi="Segoe UI"/>
          <w:sz w:val="20"/>
        </w:rPr>
        <w:t>Die Produkte werden vom 22. bis 26. August auf der ACHEMA in Frankfurt ausgestellt. Besuchen Sie unseren Stand. Gerne zeigen wir Ihnen all die spannenden Funktionen dieser neuen Analysatoren!</w:t>
      </w:r>
    </w:p>
    <w:p w14:paraId="07429FB3" w14:textId="088972EE" w:rsidR="0082037E" w:rsidRPr="006B7745" w:rsidRDefault="0082037E" w:rsidP="00FF076B">
      <w:pPr>
        <w:pStyle w:val="paragraph"/>
        <w:spacing w:before="0" w:beforeAutospacing="0" w:after="0" w:afterAutospacing="0"/>
        <w:jc w:val="both"/>
        <w:textAlignment w:val="baseline"/>
        <w:rPr>
          <w:rStyle w:val="normaltextrun"/>
          <w:rFonts w:ascii="Segoe UI" w:hAnsi="Segoe UI" w:cs="Segoe UI"/>
          <w:sz w:val="20"/>
          <w:szCs w:val="20"/>
          <w:lang w:val="de-DE"/>
        </w:rPr>
      </w:pPr>
    </w:p>
    <w:p w14:paraId="2C5D213A" w14:textId="45FFE089" w:rsidR="004C24B6" w:rsidRPr="004C24B6" w:rsidRDefault="004C0C9D" w:rsidP="004C24B6">
      <w:pPr>
        <w:pStyle w:val="paragraph"/>
        <w:spacing w:before="0" w:beforeAutospacing="0" w:after="0" w:afterAutospacing="0"/>
        <w:jc w:val="both"/>
        <w:textAlignment w:val="baseline"/>
        <w:rPr>
          <w:rFonts w:ascii="Segoe UI" w:hAnsi="Segoe UI" w:cs="Segoe UI"/>
          <w:sz w:val="20"/>
          <w:szCs w:val="20"/>
        </w:rPr>
      </w:pPr>
      <w:r>
        <w:rPr>
          <w:rFonts w:ascii="Segoe UI" w:hAnsi="Segoe UI"/>
          <w:noProof/>
          <w:sz w:val="20"/>
        </w:rPr>
        <mc:AlternateContent>
          <mc:Choice Requires="wps">
            <w:drawing>
              <wp:anchor distT="0" distB="0" distL="114300" distR="114300" simplePos="0" relativeHeight="251658240" behindDoc="0" locked="0" layoutInCell="1" allowOverlap="1" wp14:anchorId="4F05FC1B" wp14:editId="6A405F06">
                <wp:simplePos x="0" y="0"/>
                <wp:positionH relativeFrom="margin">
                  <wp:align>left</wp:align>
                </wp:positionH>
                <wp:positionV relativeFrom="paragraph">
                  <wp:posOffset>101600</wp:posOffset>
                </wp:positionV>
                <wp:extent cx="5991225" cy="3810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5991225" cy="38100"/>
                        </a:xfrm>
                        <a:prstGeom prst="line">
                          <a:avLst/>
                        </a:prstGeom>
                        <a:ln>
                          <a:solidFill>
                            <a:schemeClr val="tx1"/>
                          </a:solidFill>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o:spid="_x0000_s1026" strokecolor="black [3213]" strokeweight="1pt" from="0,8pt" to="471.75pt,11pt" w14:anchorId="4EFC21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">
                <v:stroke joinstyle="miter"/>
                <w10:wrap anchorx="margin"/>
              </v:line>
            </w:pict>
          </mc:Fallback>
        </mc:AlternateContent>
      </w:r>
      <w:r>
        <w:rPr>
          <w:rStyle w:val="normaltextrun"/>
          <w:rFonts w:ascii="Segoe UI" w:hAnsi="Segoe UI"/>
          <w:sz w:val="20"/>
        </w:rPr>
        <w:t xml:space="preserve">                          </w:t>
      </w:r>
    </w:p>
    <w:p w14:paraId="46CE87ED" w14:textId="77777777" w:rsidR="0082037E" w:rsidRPr="0082037E" w:rsidRDefault="0082037E" w:rsidP="0082037E">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b/>
          <w:color w:val="000000"/>
          <w:sz w:val="20"/>
        </w:rPr>
        <w:t>Qmicro von Sensirion</w:t>
      </w:r>
      <w:r>
        <w:rPr>
          <w:rStyle w:val="eop"/>
          <w:rFonts w:ascii="Segoe UI" w:hAnsi="Segoe UI"/>
          <w:color w:val="000000"/>
          <w:sz w:val="20"/>
        </w:rPr>
        <w:t> </w:t>
      </w:r>
    </w:p>
    <w:p w14:paraId="7C4169FB" w14:textId="6BBBFA0C" w:rsidR="0082037E" w:rsidRPr="0082037E" w:rsidRDefault="0082037E" w:rsidP="2233DCAD">
      <w:pPr>
        <w:pStyle w:val="paragraph"/>
        <w:spacing w:before="0" w:beforeAutospacing="0" w:after="0" w:afterAutospacing="0"/>
        <w:jc w:val="both"/>
        <w:textAlignment w:val="baseline"/>
        <w:rPr>
          <w:rFonts w:ascii="Segoe UI" w:hAnsi="Segoe UI" w:cs="Segoe UI"/>
          <w:sz w:val="18"/>
          <w:szCs w:val="18"/>
        </w:rPr>
      </w:pPr>
      <w:r>
        <w:rPr>
          <w:rStyle w:val="normaltextrun"/>
          <w:rFonts w:ascii="Segoe UI" w:hAnsi="Segoe UI"/>
          <w:color w:val="000000" w:themeColor="text1"/>
          <w:sz w:val="20"/>
        </w:rPr>
        <w:t>Qmicro bietet Hightech-Prozessgaschromatographen für die Online-Analyse der Gaszusammensetzung mit der microGC-Chip-Technologie (MEMS). Anwendungsbereiche sind unter anderem die industrielle Prozesssteuerung und die Automatisierung. Die von Qmicro entwickelte microGC-Produktreihe für Gasanalysen „DynamiQ“ umfasst Online-Gasüberwachungseinheiten, die Systemintegratoren, OEM und Fachhändlern bereitgestellt werden. Qmicro gehört seit 2021 zu Sensirion.</w:t>
      </w:r>
      <w:r>
        <w:rPr>
          <w:rStyle w:val="eop"/>
          <w:rFonts w:ascii="Segoe UI" w:hAnsi="Segoe UI"/>
          <w:color w:val="000000" w:themeColor="text1"/>
          <w:sz w:val="20"/>
        </w:rPr>
        <w:t> </w:t>
      </w:r>
    </w:p>
    <w:p w14:paraId="748BCF0C" w14:textId="40B0977E" w:rsidR="0082037E" w:rsidRPr="0082037E" w:rsidRDefault="0082037E" w:rsidP="00A54B55">
      <w:pPr>
        <w:pStyle w:val="paragraph"/>
        <w:spacing w:before="0" w:beforeAutospacing="0" w:after="0" w:afterAutospacing="0"/>
        <w:jc w:val="both"/>
        <w:textAlignment w:val="baseline"/>
        <w:rPr>
          <w:rFonts w:ascii="Segoe UI" w:hAnsi="Segoe UI" w:cs="Segoe UI"/>
          <w:sz w:val="18"/>
          <w:szCs w:val="18"/>
        </w:rPr>
      </w:pPr>
      <w:r>
        <w:rPr>
          <w:rStyle w:val="normaltextrun"/>
          <w:rFonts w:ascii="Segoe UI" w:hAnsi="Segoe UI"/>
          <w:color w:val="000000"/>
          <w:sz w:val="20"/>
        </w:rPr>
        <w:lastRenderedPageBreak/>
        <w:t>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präzise und zuverlässig messen. Ziel des Unternehmens ist es, die Welt mit wegweisender Sensortechnologie smarter zu machen. Als Innovationspionier entwickelt Sensirion Lösungen für die spezifischen Bedürfnisse von Kunden und Partnern aus Automobilindustrie, Industrie, Medizintechnik und Unterhaltungselektronik ebenso wie hochwertige Produkte für die kosteneffiziente Massenproduktion. </w:t>
      </w:r>
      <w:r>
        <w:rPr>
          <w:rStyle w:val="eop"/>
          <w:rFonts w:ascii="Segoe UI" w:hAnsi="Segoe UI"/>
          <w:color w:val="000000"/>
          <w:sz w:val="20"/>
        </w:rPr>
        <w:t> </w:t>
      </w:r>
    </w:p>
    <w:p w14:paraId="3292EBC8" w14:textId="77777777" w:rsidR="0082037E" w:rsidRPr="0082037E" w:rsidRDefault="0082037E" w:rsidP="00A54B55">
      <w:pPr>
        <w:pStyle w:val="paragraph"/>
        <w:spacing w:before="0" w:beforeAutospacing="0" w:after="0" w:afterAutospacing="0"/>
        <w:jc w:val="both"/>
        <w:textAlignment w:val="baseline"/>
        <w:rPr>
          <w:rFonts w:ascii="Segoe UI" w:hAnsi="Segoe UI" w:cs="Segoe UI"/>
          <w:sz w:val="18"/>
          <w:szCs w:val="18"/>
        </w:rPr>
      </w:pPr>
      <w:r>
        <w:rPr>
          <w:rStyle w:val="eop"/>
          <w:rFonts w:ascii="Segoe UI" w:hAnsi="Segoe UI"/>
          <w:color w:val="000000"/>
          <w:sz w:val="20"/>
        </w:rPr>
        <w:t> </w:t>
      </w:r>
    </w:p>
    <w:p w14:paraId="496C2B33" w14:textId="375C287B" w:rsidR="0082037E" w:rsidRPr="00B330EE" w:rsidRDefault="0082037E" w:rsidP="00A54B55">
      <w:pPr>
        <w:pStyle w:val="paragraph"/>
        <w:spacing w:before="0" w:beforeAutospacing="0" w:after="0" w:afterAutospacing="0"/>
        <w:jc w:val="both"/>
        <w:textAlignment w:val="baseline"/>
        <w:rPr>
          <w:rStyle w:val="eop"/>
          <w:rFonts w:ascii="Segoe UI" w:hAnsi="Segoe UI" w:cs="Segoe UI"/>
          <w:color w:val="000000"/>
          <w:sz w:val="20"/>
          <w:szCs w:val="20"/>
        </w:rPr>
      </w:pPr>
      <w:r>
        <w:rPr>
          <w:rStyle w:val="normaltextrun"/>
          <w:rFonts w:ascii="Segoe UI" w:hAnsi="Segoe UI"/>
          <w:color w:val="000000"/>
          <w:sz w:val="20"/>
        </w:rPr>
        <w:t xml:space="preserve">Weitere Informationen finden Sie unter: </w:t>
      </w:r>
      <w:hyperlink r:id="rId6" w:history="1">
        <w:r>
          <w:rPr>
            <w:rStyle w:val="Hyperlink"/>
            <w:rFonts w:ascii="Segoe UI" w:hAnsi="Segoe UI"/>
            <w:sz w:val="20"/>
          </w:rPr>
          <w:t>www.qmicro.com</w:t>
        </w:r>
      </w:hyperlink>
      <w:r>
        <w:rPr>
          <w:rStyle w:val="eop"/>
          <w:rFonts w:ascii="Segoe UI" w:hAnsi="Segoe UI"/>
          <w:color w:val="000000"/>
          <w:sz w:val="20"/>
        </w:rPr>
        <w:t xml:space="preserve"> </w:t>
      </w:r>
    </w:p>
    <w:p w14:paraId="4BFA72C2" w14:textId="41E32B1C" w:rsidR="00D72226" w:rsidRPr="006B7745" w:rsidRDefault="00D72226" w:rsidP="00D72226">
      <w:pPr>
        <w:pStyle w:val="paragraph"/>
        <w:spacing w:before="0" w:beforeAutospacing="0" w:after="0" w:afterAutospacing="0"/>
        <w:jc w:val="both"/>
        <w:textAlignment w:val="baseline"/>
        <w:rPr>
          <w:rFonts w:ascii="Segoe UI" w:hAnsi="Segoe UI" w:cs="Segoe UI"/>
          <w:sz w:val="18"/>
          <w:szCs w:val="18"/>
          <w:lang w:val="de-DE"/>
        </w:rPr>
      </w:pPr>
    </w:p>
    <w:p w14:paraId="035AEAF6" w14:textId="71799C19" w:rsidR="00D72226" w:rsidRPr="00D72226" w:rsidRDefault="00D72226" w:rsidP="27D386DB">
      <w:pPr>
        <w:pStyle w:val="paragraph"/>
        <w:spacing w:before="0" w:beforeAutospacing="0" w:after="0" w:afterAutospacing="0"/>
        <w:jc w:val="both"/>
        <w:textAlignment w:val="baseline"/>
        <w:rPr>
          <w:rStyle w:val="normaltextrun"/>
          <w:color w:val="000000" w:themeColor="text1"/>
          <w:sz w:val="20"/>
          <w:szCs w:val="20"/>
        </w:rPr>
      </w:pPr>
      <w:r>
        <w:rPr>
          <w:rStyle w:val="normaltextrun"/>
          <w:rFonts w:ascii="Segoe UI" w:hAnsi="Segoe UI"/>
          <w:color w:val="000000" w:themeColor="text1"/>
          <w:sz w:val="20"/>
        </w:rPr>
        <w:t xml:space="preserve">Kontakt: </w:t>
      </w:r>
      <w:hyperlink r:id="rId7">
        <w:r>
          <w:rPr>
            <w:rStyle w:val="normaltextrun"/>
            <w:rFonts w:ascii="Segoe UI" w:hAnsi="Segoe UI"/>
            <w:color w:val="000000" w:themeColor="text1"/>
            <w:sz w:val="20"/>
          </w:rPr>
          <w:t>info@sensirion.com</w:t>
        </w:r>
      </w:hyperlink>
      <w:r>
        <w:rPr>
          <w:rStyle w:val="normaltextrun"/>
          <w:rFonts w:ascii="Segoe UI" w:hAnsi="Segoe UI"/>
          <w:color w:val="000000" w:themeColor="text1"/>
          <w:sz w:val="20"/>
        </w:rPr>
        <w:t>, Tel. +41 44 306 40 00, Fax +41 44 306 40 30 </w:t>
      </w:r>
    </w:p>
    <w:p w14:paraId="5E7CDB32" w14:textId="71459CAB" w:rsidR="00D72226" w:rsidRPr="00470B36" w:rsidRDefault="00D72226" w:rsidP="27D386DB">
      <w:pPr>
        <w:pStyle w:val="paragraph"/>
        <w:spacing w:before="0" w:beforeAutospacing="0" w:after="0" w:afterAutospacing="0"/>
        <w:jc w:val="both"/>
        <w:textAlignment w:val="baseline"/>
        <w:rPr>
          <w:rStyle w:val="normaltextrun"/>
          <w:rFonts w:ascii="Segoe UI" w:hAnsi="Segoe UI"/>
        </w:rPr>
      </w:pPr>
    </w:p>
    <w:p w14:paraId="3BC5E858" w14:textId="0ADB63B5" w:rsidR="27D386DB" w:rsidRPr="00470B36" w:rsidRDefault="27D386DB" w:rsidP="27D386DB">
      <w:pPr>
        <w:pStyle w:val="paragraph"/>
        <w:spacing w:before="0" w:beforeAutospacing="0" w:after="0" w:afterAutospacing="0"/>
        <w:jc w:val="both"/>
        <w:rPr>
          <w:rStyle w:val="normaltextrun"/>
          <w:rFonts w:ascii="Segoe UI" w:hAnsi="Segoe UI"/>
        </w:rPr>
      </w:pPr>
    </w:p>
    <w:p w14:paraId="7286DA87" w14:textId="77777777" w:rsidR="00D72226" w:rsidRPr="00470B36" w:rsidRDefault="00D72226" w:rsidP="00A54B55">
      <w:pPr>
        <w:pStyle w:val="paragraph"/>
        <w:spacing w:before="0" w:beforeAutospacing="0" w:after="0" w:afterAutospacing="0"/>
        <w:jc w:val="both"/>
        <w:textAlignment w:val="baseline"/>
        <w:rPr>
          <w:rFonts w:ascii="Segoe UI" w:hAnsi="Segoe UI" w:cs="Segoe UI"/>
          <w:sz w:val="18"/>
          <w:szCs w:val="18"/>
        </w:rPr>
      </w:pPr>
    </w:p>
    <w:p w14:paraId="55C231AC" w14:textId="77777777" w:rsidR="0082037E" w:rsidRPr="004A7480" w:rsidRDefault="0082037E" w:rsidP="00A54B55">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olor w:val="000000"/>
          <w:sz w:val="20"/>
        </w:rPr>
        <w:t> </w:t>
      </w:r>
    </w:p>
    <w:p w14:paraId="58D299E4" w14:textId="77777777" w:rsidR="0082037E" w:rsidRPr="00470B36" w:rsidRDefault="0082037E" w:rsidP="00A54B55">
      <w:pPr>
        <w:jc w:val="both"/>
      </w:pPr>
    </w:p>
    <w:sectPr w:rsidR="0082037E" w:rsidRPr="00470B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B7A64" w14:textId="77777777" w:rsidR="00346DD6" w:rsidRDefault="00346DD6" w:rsidP="00E64667">
      <w:pPr>
        <w:spacing w:after="0" w:line="240" w:lineRule="auto"/>
      </w:pPr>
      <w:r>
        <w:separator/>
      </w:r>
    </w:p>
  </w:endnote>
  <w:endnote w:type="continuationSeparator" w:id="0">
    <w:p w14:paraId="3FB6380B" w14:textId="77777777" w:rsidR="00346DD6" w:rsidRDefault="00346DD6" w:rsidP="00E64667">
      <w:pPr>
        <w:spacing w:after="0" w:line="240" w:lineRule="auto"/>
      </w:pPr>
      <w:r>
        <w:continuationSeparator/>
      </w:r>
    </w:p>
  </w:endnote>
  <w:endnote w:type="continuationNotice" w:id="1">
    <w:p w14:paraId="68947277" w14:textId="77777777" w:rsidR="00346DD6" w:rsidRDefault="00346D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neral Grotesque">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AB95" w14:textId="77777777" w:rsidR="00346DD6" w:rsidRDefault="00346DD6" w:rsidP="00E64667">
      <w:pPr>
        <w:spacing w:after="0" w:line="240" w:lineRule="auto"/>
      </w:pPr>
      <w:r>
        <w:separator/>
      </w:r>
    </w:p>
  </w:footnote>
  <w:footnote w:type="continuationSeparator" w:id="0">
    <w:p w14:paraId="15B35131" w14:textId="77777777" w:rsidR="00346DD6" w:rsidRDefault="00346DD6" w:rsidP="00E64667">
      <w:pPr>
        <w:spacing w:after="0" w:line="240" w:lineRule="auto"/>
      </w:pPr>
      <w:r>
        <w:continuationSeparator/>
      </w:r>
    </w:p>
  </w:footnote>
  <w:footnote w:type="continuationNotice" w:id="1">
    <w:p w14:paraId="4839DAB6" w14:textId="77777777" w:rsidR="00346DD6" w:rsidRDefault="00346DD6">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D94"/>
    <w:rsid w:val="0000455A"/>
    <w:rsid w:val="0003659F"/>
    <w:rsid w:val="00055630"/>
    <w:rsid w:val="00055D73"/>
    <w:rsid w:val="00074E3F"/>
    <w:rsid w:val="00096E6D"/>
    <w:rsid w:val="000B476C"/>
    <w:rsid w:val="0010562A"/>
    <w:rsid w:val="00106348"/>
    <w:rsid w:val="00106CDA"/>
    <w:rsid w:val="0011471F"/>
    <w:rsid w:val="00116AAE"/>
    <w:rsid w:val="00124F79"/>
    <w:rsid w:val="00135521"/>
    <w:rsid w:val="0017543F"/>
    <w:rsid w:val="0019438D"/>
    <w:rsid w:val="001B2C92"/>
    <w:rsid w:val="001C543F"/>
    <w:rsid w:val="001D7A44"/>
    <w:rsid w:val="001F3F4D"/>
    <w:rsid w:val="00234C47"/>
    <w:rsid w:val="00262D35"/>
    <w:rsid w:val="00266921"/>
    <w:rsid w:val="00272AAB"/>
    <w:rsid w:val="0029721A"/>
    <w:rsid w:val="002B1A4F"/>
    <w:rsid w:val="002F0822"/>
    <w:rsid w:val="002F2C00"/>
    <w:rsid w:val="002F7A72"/>
    <w:rsid w:val="003138BB"/>
    <w:rsid w:val="00325042"/>
    <w:rsid w:val="00326937"/>
    <w:rsid w:val="00346DD6"/>
    <w:rsid w:val="003636BD"/>
    <w:rsid w:val="00365341"/>
    <w:rsid w:val="00397E2B"/>
    <w:rsid w:val="003D2BC4"/>
    <w:rsid w:val="003D7B94"/>
    <w:rsid w:val="00470B36"/>
    <w:rsid w:val="004A7480"/>
    <w:rsid w:val="004B26C3"/>
    <w:rsid w:val="004B799D"/>
    <w:rsid w:val="004C0A84"/>
    <w:rsid w:val="004C0C9D"/>
    <w:rsid w:val="004C24B6"/>
    <w:rsid w:val="004F4C79"/>
    <w:rsid w:val="00500625"/>
    <w:rsid w:val="00505C81"/>
    <w:rsid w:val="00506829"/>
    <w:rsid w:val="00522F2A"/>
    <w:rsid w:val="005263FC"/>
    <w:rsid w:val="00575E47"/>
    <w:rsid w:val="005820AA"/>
    <w:rsid w:val="005A38CE"/>
    <w:rsid w:val="005B2EB5"/>
    <w:rsid w:val="005B4099"/>
    <w:rsid w:val="005E063D"/>
    <w:rsid w:val="005E7A6C"/>
    <w:rsid w:val="005F1F60"/>
    <w:rsid w:val="005F58CF"/>
    <w:rsid w:val="006040BF"/>
    <w:rsid w:val="00616FC5"/>
    <w:rsid w:val="006315BA"/>
    <w:rsid w:val="006415E9"/>
    <w:rsid w:val="00666662"/>
    <w:rsid w:val="00667306"/>
    <w:rsid w:val="00677CAA"/>
    <w:rsid w:val="00687F0E"/>
    <w:rsid w:val="0069109E"/>
    <w:rsid w:val="00694FE7"/>
    <w:rsid w:val="006B7745"/>
    <w:rsid w:val="006C33B9"/>
    <w:rsid w:val="006D09BA"/>
    <w:rsid w:val="006D4712"/>
    <w:rsid w:val="006E0B4E"/>
    <w:rsid w:val="006E2664"/>
    <w:rsid w:val="006E330F"/>
    <w:rsid w:val="00742051"/>
    <w:rsid w:val="007520FD"/>
    <w:rsid w:val="0078120D"/>
    <w:rsid w:val="007A1A6B"/>
    <w:rsid w:val="007B3B97"/>
    <w:rsid w:val="007D36AE"/>
    <w:rsid w:val="00802B15"/>
    <w:rsid w:val="00810F22"/>
    <w:rsid w:val="00816714"/>
    <w:rsid w:val="0082037E"/>
    <w:rsid w:val="00835AA1"/>
    <w:rsid w:val="008537E4"/>
    <w:rsid w:val="008830B9"/>
    <w:rsid w:val="00892D94"/>
    <w:rsid w:val="0089512A"/>
    <w:rsid w:val="008A0E28"/>
    <w:rsid w:val="008A5A4F"/>
    <w:rsid w:val="008C205C"/>
    <w:rsid w:val="008E5655"/>
    <w:rsid w:val="008E5881"/>
    <w:rsid w:val="0090096F"/>
    <w:rsid w:val="009270EC"/>
    <w:rsid w:val="00960967"/>
    <w:rsid w:val="0097513E"/>
    <w:rsid w:val="00977860"/>
    <w:rsid w:val="00980F48"/>
    <w:rsid w:val="00987C6A"/>
    <w:rsid w:val="00993E7F"/>
    <w:rsid w:val="009C76B5"/>
    <w:rsid w:val="009D189B"/>
    <w:rsid w:val="009E0C7B"/>
    <w:rsid w:val="009E3317"/>
    <w:rsid w:val="009E69DD"/>
    <w:rsid w:val="009F2C78"/>
    <w:rsid w:val="009F53F6"/>
    <w:rsid w:val="00A16272"/>
    <w:rsid w:val="00A338C0"/>
    <w:rsid w:val="00A40BAF"/>
    <w:rsid w:val="00A52435"/>
    <w:rsid w:val="00A54B55"/>
    <w:rsid w:val="00A92016"/>
    <w:rsid w:val="00AD0FEB"/>
    <w:rsid w:val="00AF6F06"/>
    <w:rsid w:val="00B00A1E"/>
    <w:rsid w:val="00B27539"/>
    <w:rsid w:val="00B330EE"/>
    <w:rsid w:val="00B36EC2"/>
    <w:rsid w:val="00B411B9"/>
    <w:rsid w:val="00B45E07"/>
    <w:rsid w:val="00B557A1"/>
    <w:rsid w:val="00B6147D"/>
    <w:rsid w:val="00B742EC"/>
    <w:rsid w:val="00B82AA7"/>
    <w:rsid w:val="00B839B5"/>
    <w:rsid w:val="00C14FB7"/>
    <w:rsid w:val="00C178AC"/>
    <w:rsid w:val="00C33795"/>
    <w:rsid w:val="00C57701"/>
    <w:rsid w:val="00CA2D9A"/>
    <w:rsid w:val="00CC3926"/>
    <w:rsid w:val="00CC6721"/>
    <w:rsid w:val="00CF02DE"/>
    <w:rsid w:val="00D01C10"/>
    <w:rsid w:val="00D07107"/>
    <w:rsid w:val="00D076EC"/>
    <w:rsid w:val="00D10F2F"/>
    <w:rsid w:val="00D11CBA"/>
    <w:rsid w:val="00D16386"/>
    <w:rsid w:val="00D27113"/>
    <w:rsid w:val="00D272AE"/>
    <w:rsid w:val="00D60F43"/>
    <w:rsid w:val="00D72226"/>
    <w:rsid w:val="00D74606"/>
    <w:rsid w:val="00D86BED"/>
    <w:rsid w:val="00DD1013"/>
    <w:rsid w:val="00DF2B15"/>
    <w:rsid w:val="00DF385A"/>
    <w:rsid w:val="00E06C65"/>
    <w:rsid w:val="00E22E6A"/>
    <w:rsid w:val="00E53FBE"/>
    <w:rsid w:val="00E63139"/>
    <w:rsid w:val="00E64667"/>
    <w:rsid w:val="00E755B1"/>
    <w:rsid w:val="00E8215B"/>
    <w:rsid w:val="00E92779"/>
    <w:rsid w:val="00EB5EF5"/>
    <w:rsid w:val="00EC7DE9"/>
    <w:rsid w:val="00ED37BD"/>
    <w:rsid w:val="00ED4489"/>
    <w:rsid w:val="00ED6E32"/>
    <w:rsid w:val="00EF1F8A"/>
    <w:rsid w:val="00EF5A7D"/>
    <w:rsid w:val="00F22363"/>
    <w:rsid w:val="00F572A1"/>
    <w:rsid w:val="00F74878"/>
    <w:rsid w:val="00FC0216"/>
    <w:rsid w:val="00FD0684"/>
    <w:rsid w:val="00FF076B"/>
    <w:rsid w:val="00FF6C47"/>
    <w:rsid w:val="05DC4655"/>
    <w:rsid w:val="077816B6"/>
    <w:rsid w:val="0AAFB778"/>
    <w:rsid w:val="104AEA2B"/>
    <w:rsid w:val="11E6BA8C"/>
    <w:rsid w:val="151E5B4E"/>
    <w:rsid w:val="168E5D1D"/>
    <w:rsid w:val="1B61CE40"/>
    <w:rsid w:val="2233DCAD"/>
    <w:rsid w:val="22C4D2B7"/>
    <w:rsid w:val="25FC7379"/>
    <w:rsid w:val="260F19AE"/>
    <w:rsid w:val="27D386DB"/>
    <w:rsid w:val="28740D60"/>
    <w:rsid w:val="298382F2"/>
    <w:rsid w:val="2A8B1088"/>
    <w:rsid w:val="2EE34EE4"/>
    <w:rsid w:val="33059623"/>
    <w:rsid w:val="370139CF"/>
    <w:rsid w:val="382A57B9"/>
    <w:rsid w:val="3C9C6C82"/>
    <w:rsid w:val="3CD93504"/>
    <w:rsid w:val="3FE8153A"/>
    <w:rsid w:val="4EF53F2B"/>
    <w:rsid w:val="50910F8C"/>
    <w:rsid w:val="5334AAD6"/>
    <w:rsid w:val="64C28B24"/>
    <w:rsid w:val="6BD7E1D8"/>
    <w:rsid w:val="7CC96986"/>
    <w:rsid w:val="7F5A2BCA"/>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59F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20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037E"/>
  </w:style>
  <w:style w:type="character" w:customStyle="1" w:styleId="eop">
    <w:name w:val="eop"/>
    <w:basedOn w:val="DefaultParagraphFont"/>
    <w:rsid w:val="0082037E"/>
  </w:style>
  <w:style w:type="character" w:styleId="Hyperlink">
    <w:name w:val="Hyperlink"/>
    <w:basedOn w:val="DefaultParagraphFont"/>
    <w:uiPriority w:val="99"/>
    <w:unhideWhenUsed/>
    <w:rsid w:val="0082037E"/>
    <w:rPr>
      <w:color w:val="0563C1" w:themeColor="hyperlink"/>
      <w:u w:val="single"/>
    </w:rPr>
  </w:style>
  <w:style w:type="character" w:styleId="UnresolvedMention">
    <w:name w:val="Unresolved Mention"/>
    <w:basedOn w:val="DefaultParagraphFont"/>
    <w:uiPriority w:val="99"/>
    <w:semiHidden/>
    <w:unhideWhenUsed/>
    <w:rsid w:val="0082037E"/>
    <w:rPr>
      <w:color w:val="605E5C"/>
      <w:shd w:val="clear" w:color="auto" w:fill="E1DFDD"/>
    </w:rPr>
  </w:style>
  <w:style w:type="paragraph" w:styleId="Revision">
    <w:name w:val="Revision"/>
    <w:hidden/>
    <w:uiPriority w:val="99"/>
    <w:semiHidden/>
    <w:rsid w:val="00106CDA"/>
    <w:pPr>
      <w:spacing w:after="0" w:line="240" w:lineRule="auto"/>
    </w:pPr>
  </w:style>
  <w:style w:type="character" w:styleId="CommentReference">
    <w:name w:val="annotation reference"/>
    <w:basedOn w:val="DefaultParagraphFont"/>
    <w:uiPriority w:val="99"/>
    <w:semiHidden/>
    <w:unhideWhenUsed/>
    <w:rsid w:val="00E06C65"/>
    <w:rPr>
      <w:sz w:val="16"/>
      <w:szCs w:val="16"/>
    </w:rPr>
  </w:style>
  <w:style w:type="paragraph" w:styleId="CommentText">
    <w:name w:val="annotation text"/>
    <w:basedOn w:val="Normal"/>
    <w:link w:val="CommentTextChar"/>
    <w:uiPriority w:val="99"/>
    <w:unhideWhenUsed/>
    <w:rsid w:val="00E06C65"/>
    <w:pPr>
      <w:spacing w:line="240" w:lineRule="auto"/>
    </w:pPr>
    <w:rPr>
      <w:sz w:val="20"/>
      <w:szCs w:val="20"/>
    </w:rPr>
  </w:style>
  <w:style w:type="character" w:customStyle="1" w:styleId="CommentTextChar">
    <w:name w:val="Comment Text Char"/>
    <w:basedOn w:val="DefaultParagraphFont"/>
    <w:link w:val="CommentText"/>
    <w:uiPriority w:val="99"/>
    <w:rsid w:val="00E06C65"/>
    <w:rPr>
      <w:sz w:val="20"/>
      <w:szCs w:val="20"/>
    </w:rPr>
  </w:style>
  <w:style w:type="paragraph" w:styleId="CommentSubject">
    <w:name w:val="annotation subject"/>
    <w:basedOn w:val="CommentText"/>
    <w:next w:val="CommentText"/>
    <w:link w:val="CommentSubjectChar"/>
    <w:uiPriority w:val="99"/>
    <w:semiHidden/>
    <w:unhideWhenUsed/>
    <w:rsid w:val="00E06C65"/>
    <w:rPr>
      <w:b/>
      <w:bCs/>
    </w:rPr>
  </w:style>
  <w:style w:type="character" w:customStyle="1" w:styleId="CommentSubjectChar">
    <w:name w:val="Comment Subject Char"/>
    <w:basedOn w:val="CommentTextChar"/>
    <w:link w:val="CommentSubject"/>
    <w:uiPriority w:val="99"/>
    <w:semiHidden/>
    <w:rsid w:val="00E06C65"/>
    <w:rPr>
      <w:b/>
      <w:bCs/>
      <w:sz w:val="20"/>
      <w:szCs w:val="20"/>
    </w:rPr>
  </w:style>
  <w:style w:type="paragraph" w:styleId="Header">
    <w:name w:val="header"/>
    <w:basedOn w:val="Normal"/>
    <w:link w:val="HeaderChar"/>
    <w:uiPriority w:val="99"/>
    <w:unhideWhenUsed/>
    <w:rsid w:val="00E646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4667"/>
  </w:style>
  <w:style w:type="paragraph" w:styleId="Footer">
    <w:name w:val="footer"/>
    <w:basedOn w:val="Normal"/>
    <w:link w:val="FooterChar"/>
    <w:uiPriority w:val="99"/>
    <w:unhideWhenUsed/>
    <w:rsid w:val="00E646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4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794962">
      <w:bodyDiv w:val="1"/>
      <w:marLeft w:val="0"/>
      <w:marRight w:val="0"/>
      <w:marTop w:val="0"/>
      <w:marBottom w:val="0"/>
      <w:divBdr>
        <w:top w:val="none" w:sz="0" w:space="0" w:color="auto"/>
        <w:left w:val="none" w:sz="0" w:space="0" w:color="auto"/>
        <w:bottom w:val="none" w:sz="0" w:space="0" w:color="auto"/>
        <w:right w:val="none" w:sz="0" w:space="0" w:color="auto"/>
      </w:divBdr>
      <w:divsChild>
        <w:div w:id="1323243041">
          <w:marLeft w:val="0"/>
          <w:marRight w:val="0"/>
          <w:marTop w:val="0"/>
          <w:marBottom w:val="0"/>
          <w:divBdr>
            <w:top w:val="none" w:sz="0" w:space="0" w:color="auto"/>
            <w:left w:val="none" w:sz="0" w:space="0" w:color="auto"/>
            <w:bottom w:val="none" w:sz="0" w:space="0" w:color="auto"/>
            <w:right w:val="none" w:sz="0" w:space="0" w:color="auto"/>
          </w:divBdr>
        </w:div>
        <w:div w:id="2004896364">
          <w:marLeft w:val="0"/>
          <w:marRight w:val="0"/>
          <w:marTop w:val="0"/>
          <w:marBottom w:val="0"/>
          <w:divBdr>
            <w:top w:val="none" w:sz="0" w:space="0" w:color="auto"/>
            <w:left w:val="none" w:sz="0" w:space="0" w:color="auto"/>
            <w:bottom w:val="none" w:sz="0" w:space="0" w:color="auto"/>
            <w:right w:val="none" w:sz="0" w:space="0" w:color="auto"/>
          </w:divBdr>
        </w:div>
      </w:divsChild>
    </w:div>
    <w:div w:id="1019741580">
      <w:bodyDiv w:val="1"/>
      <w:marLeft w:val="0"/>
      <w:marRight w:val="0"/>
      <w:marTop w:val="0"/>
      <w:marBottom w:val="0"/>
      <w:divBdr>
        <w:top w:val="none" w:sz="0" w:space="0" w:color="auto"/>
        <w:left w:val="none" w:sz="0" w:space="0" w:color="auto"/>
        <w:bottom w:val="none" w:sz="0" w:space="0" w:color="auto"/>
        <w:right w:val="none" w:sz="0" w:space="0" w:color="auto"/>
      </w:divBdr>
      <w:divsChild>
        <w:div w:id="1719939698">
          <w:marLeft w:val="0"/>
          <w:marRight w:val="0"/>
          <w:marTop w:val="0"/>
          <w:marBottom w:val="0"/>
          <w:divBdr>
            <w:top w:val="none" w:sz="0" w:space="0" w:color="auto"/>
            <w:left w:val="none" w:sz="0" w:space="0" w:color="auto"/>
            <w:bottom w:val="none" w:sz="0" w:space="0" w:color="auto"/>
            <w:right w:val="none" w:sz="0" w:space="0" w:color="auto"/>
          </w:divBdr>
        </w:div>
        <w:div w:id="1541627013">
          <w:marLeft w:val="0"/>
          <w:marRight w:val="0"/>
          <w:marTop w:val="0"/>
          <w:marBottom w:val="0"/>
          <w:divBdr>
            <w:top w:val="none" w:sz="0" w:space="0" w:color="auto"/>
            <w:left w:val="none" w:sz="0" w:space="0" w:color="auto"/>
            <w:bottom w:val="none" w:sz="0" w:space="0" w:color="auto"/>
            <w:right w:val="none" w:sz="0" w:space="0" w:color="auto"/>
          </w:divBdr>
        </w:div>
        <w:div w:id="2069300587">
          <w:marLeft w:val="0"/>
          <w:marRight w:val="0"/>
          <w:marTop w:val="0"/>
          <w:marBottom w:val="0"/>
          <w:divBdr>
            <w:top w:val="none" w:sz="0" w:space="0" w:color="auto"/>
            <w:left w:val="none" w:sz="0" w:space="0" w:color="auto"/>
            <w:bottom w:val="none" w:sz="0" w:space="0" w:color="auto"/>
            <w:right w:val="none" w:sz="0" w:space="0" w:color="auto"/>
          </w:divBdr>
        </w:div>
        <w:div w:id="1930843154">
          <w:marLeft w:val="0"/>
          <w:marRight w:val="0"/>
          <w:marTop w:val="0"/>
          <w:marBottom w:val="0"/>
          <w:divBdr>
            <w:top w:val="none" w:sz="0" w:space="0" w:color="auto"/>
            <w:left w:val="none" w:sz="0" w:space="0" w:color="auto"/>
            <w:bottom w:val="none" w:sz="0" w:space="0" w:color="auto"/>
            <w:right w:val="none" w:sz="0" w:space="0" w:color="auto"/>
          </w:divBdr>
        </w:div>
        <w:div w:id="1606767853">
          <w:marLeft w:val="0"/>
          <w:marRight w:val="0"/>
          <w:marTop w:val="0"/>
          <w:marBottom w:val="0"/>
          <w:divBdr>
            <w:top w:val="none" w:sz="0" w:space="0" w:color="auto"/>
            <w:left w:val="none" w:sz="0" w:space="0" w:color="auto"/>
            <w:bottom w:val="none" w:sz="0" w:space="0" w:color="auto"/>
            <w:right w:val="none" w:sz="0" w:space="0" w:color="auto"/>
          </w:divBdr>
        </w:div>
        <w:div w:id="609898493">
          <w:marLeft w:val="0"/>
          <w:marRight w:val="0"/>
          <w:marTop w:val="0"/>
          <w:marBottom w:val="0"/>
          <w:divBdr>
            <w:top w:val="none" w:sz="0" w:space="0" w:color="auto"/>
            <w:left w:val="none" w:sz="0" w:space="0" w:color="auto"/>
            <w:bottom w:val="none" w:sz="0" w:space="0" w:color="auto"/>
            <w:right w:val="none" w:sz="0" w:space="0" w:color="auto"/>
          </w:divBdr>
        </w:div>
      </w:divsChild>
    </w:div>
    <w:div w:id="1290475532">
      <w:bodyDiv w:val="1"/>
      <w:marLeft w:val="0"/>
      <w:marRight w:val="0"/>
      <w:marTop w:val="0"/>
      <w:marBottom w:val="0"/>
      <w:divBdr>
        <w:top w:val="none" w:sz="0" w:space="0" w:color="auto"/>
        <w:left w:val="none" w:sz="0" w:space="0" w:color="auto"/>
        <w:bottom w:val="none" w:sz="0" w:space="0" w:color="auto"/>
        <w:right w:val="none" w:sz="0" w:space="0" w:color="auto"/>
      </w:divBdr>
      <w:divsChild>
        <w:div w:id="1011446354">
          <w:marLeft w:val="0"/>
          <w:marRight w:val="0"/>
          <w:marTop w:val="0"/>
          <w:marBottom w:val="0"/>
          <w:divBdr>
            <w:top w:val="none" w:sz="0" w:space="0" w:color="auto"/>
            <w:left w:val="none" w:sz="0" w:space="0" w:color="auto"/>
            <w:bottom w:val="none" w:sz="0" w:space="0" w:color="auto"/>
            <w:right w:val="none" w:sz="0" w:space="0" w:color="auto"/>
          </w:divBdr>
        </w:div>
        <w:div w:id="1442918724">
          <w:marLeft w:val="0"/>
          <w:marRight w:val="0"/>
          <w:marTop w:val="0"/>
          <w:marBottom w:val="0"/>
          <w:divBdr>
            <w:top w:val="none" w:sz="0" w:space="0" w:color="auto"/>
            <w:left w:val="none" w:sz="0" w:space="0" w:color="auto"/>
            <w:bottom w:val="none" w:sz="0" w:space="0" w:color="auto"/>
            <w:right w:val="none" w:sz="0" w:space="0" w:color="auto"/>
          </w:divBdr>
        </w:div>
        <w:div w:id="186793679">
          <w:marLeft w:val="0"/>
          <w:marRight w:val="0"/>
          <w:marTop w:val="0"/>
          <w:marBottom w:val="0"/>
          <w:divBdr>
            <w:top w:val="none" w:sz="0" w:space="0" w:color="auto"/>
            <w:left w:val="none" w:sz="0" w:space="0" w:color="auto"/>
            <w:bottom w:val="none" w:sz="0" w:space="0" w:color="auto"/>
            <w:right w:val="none" w:sz="0" w:space="0" w:color="auto"/>
          </w:divBdr>
        </w:div>
        <w:div w:id="947587406">
          <w:marLeft w:val="0"/>
          <w:marRight w:val="0"/>
          <w:marTop w:val="0"/>
          <w:marBottom w:val="0"/>
          <w:divBdr>
            <w:top w:val="none" w:sz="0" w:space="0" w:color="auto"/>
            <w:left w:val="none" w:sz="0" w:space="0" w:color="auto"/>
            <w:bottom w:val="none" w:sz="0" w:space="0" w:color="auto"/>
            <w:right w:val="none" w:sz="0" w:space="0" w:color="auto"/>
          </w:divBdr>
        </w:div>
        <w:div w:id="1931619853">
          <w:marLeft w:val="0"/>
          <w:marRight w:val="0"/>
          <w:marTop w:val="0"/>
          <w:marBottom w:val="0"/>
          <w:divBdr>
            <w:top w:val="none" w:sz="0" w:space="0" w:color="auto"/>
            <w:left w:val="none" w:sz="0" w:space="0" w:color="auto"/>
            <w:bottom w:val="none" w:sz="0" w:space="0" w:color="auto"/>
            <w:right w:val="none" w:sz="0" w:space="0" w:color="auto"/>
          </w:divBdr>
        </w:div>
        <w:div w:id="907376237">
          <w:marLeft w:val="0"/>
          <w:marRight w:val="0"/>
          <w:marTop w:val="0"/>
          <w:marBottom w:val="0"/>
          <w:divBdr>
            <w:top w:val="none" w:sz="0" w:space="0" w:color="auto"/>
            <w:left w:val="none" w:sz="0" w:space="0" w:color="auto"/>
            <w:bottom w:val="none" w:sz="0" w:space="0" w:color="auto"/>
            <w:right w:val="none" w:sz="0" w:space="0" w:color="auto"/>
          </w:divBdr>
        </w:div>
        <w:div w:id="1421180339">
          <w:marLeft w:val="0"/>
          <w:marRight w:val="0"/>
          <w:marTop w:val="0"/>
          <w:marBottom w:val="0"/>
          <w:divBdr>
            <w:top w:val="none" w:sz="0" w:space="0" w:color="auto"/>
            <w:left w:val="none" w:sz="0" w:space="0" w:color="auto"/>
            <w:bottom w:val="none" w:sz="0" w:space="0" w:color="auto"/>
            <w:right w:val="none" w:sz="0" w:space="0" w:color="auto"/>
          </w:divBdr>
        </w:div>
        <w:div w:id="1792094493">
          <w:marLeft w:val="0"/>
          <w:marRight w:val="0"/>
          <w:marTop w:val="0"/>
          <w:marBottom w:val="0"/>
          <w:divBdr>
            <w:top w:val="none" w:sz="0" w:space="0" w:color="auto"/>
            <w:left w:val="none" w:sz="0" w:space="0" w:color="auto"/>
            <w:bottom w:val="none" w:sz="0" w:space="0" w:color="auto"/>
            <w:right w:val="none" w:sz="0" w:space="0" w:color="auto"/>
          </w:divBdr>
        </w:div>
        <w:div w:id="1120875669">
          <w:marLeft w:val="0"/>
          <w:marRight w:val="0"/>
          <w:marTop w:val="0"/>
          <w:marBottom w:val="0"/>
          <w:divBdr>
            <w:top w:val="none" w:sz="0" w:space="0" w:color="auto"/>
            <w:left w:val="none" w:sz="0" w:space="0" w:color="auto"/>
            <w:bottom w:val="none" w:sz="0" w:space="0" w:color="auto"/>
            <w:right w:val="none" w:sz="0" w:space="0" w:color="auto"/>
          </w:divBdr>
        </w:div>
      </w:divsChild>
    </w:div>
    <w:div w:id="1400593243">
      <w:bodyDiv w:val="1"/>
      <w:marLeft w:val="0"/>
      <w:marRight w:val="0"/>
      <w:marTop w:val="0"/>
      <w:marBottom w:val="0"/>
      <w:divBdr>
        <w:top w:val="none" w:sz="0" w:space="0" w:color="auto"/>
        <w:left w:val="none" w:sz="0" w:space="0" w:color="auto"/>
        <w:bottom w:val="none" w:sz="0" w:space="0" w:color="auto"/>
        <w:right w:val="none" w:sz="0" w:space="0" w:color="auto"/>
      </w:divBdr>
      <w:divsChild>
        <w:div w:id="1308899850">
          <w:marLeft w:val="0"/>
          <w:marRight w:val="0"/>
          <w:marTop w:val="0"/>
          <w:marBottom w:val="0"/>
          <w:divBdr>
            <w:top w:val="none" w:sz="0" w:space="0" w:color="auto"/>
            <w:left w:val="none" w:sz="0" w:space="0" w:color="auto"/>
            <w:bottom w:val="none" w:sz="0" w:space="0" w:color="auto"/>
            <w:right w:val="none" w:sz="0" w:space="0" w:color="auto"/>
          </w:divBdr>
        </w:div>
        <w:div w:id="716248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nfo@sensirio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micro.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2022-08-09T08:44:00Z</dcterms:created>
  <dcterms:modified xsi:type="dcterms:W3CDTF">2022-08-15T12:15:00Z</dcterms:modified>
</cp:coreProperties>
</file>