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CC0FC" w14:textId="77777777" w:rsidR="004A33C2" w:rsidRPr="004A33C2" w:rsidRDefault="004A33C2">
      <w:pPr>
        <w:autoSpaceDE w:val="0"/>
        <w:autoSpaceDN w:val="0"/>
        <w:adjustRightInd w:val="0"/>
        <w:rPr>
          <w:rFonts w:ascii="Segoe UI" w:hAnsi="Segoe UI" w:cs="Segoe UI"/>
          <w:b/>
          <w:color w:val="000000"/>
          <w:sz w:val="20"/>
          <w:szCs w:val="20"/>
        </w:rPr>
      </w:pPr>
    </w:p>
    <w:p w14:paraId="611A29F9" w14:textId="0E75C93F" w:rsidR="00EB1E71" w:rsidRPr="006C72A4" w:rsidRDefault="009933FA">
      <w:pPr>
        <w:autoSpaceDE w:val="0"/>
        <w:autoSpaceDN w:val="0"/>
        <w:adjustRightInd w:val="0"/>
        <w:rPr>
          <w:rFonts w:ascii="Segoe UI" w:hAnsi="Segoe UI" w:cs="Segoe UI"/>
          <w:b/>
          <w:color w:val="000000"/>
          <w:sz w:val="20"/>
          <w:szCs w:val="20"/>
        </w:rPr>
      </w:pPr>
      <w:r>
        <w:rPr>
          <w:rFonts w:ascii="Segoe UI" w:hAnsi="Segoe UI"/>
          <w:b/>
          <w:color w:val="000000"/>
          <w:sz w:val="20"/>
        </w:rPr>
        <w:t>Medienmitteilung</w:t>
      </w:r>
    </w:p>
    <w:p w14:paraId="1E27919F" w14:textId="1CCD4F66" w:rsidR="00AB3B4C" w:rsidRPr="006C72A4" w:rsidRDefault="00FC292F" w:rsidP="00AB3B4C">
      <w:pPr>
        <w:pBdr>
          <w:bottom w:val="single" w:sz="4" w:space="3" w:color="auto"/>
        </w:pBdr>
        <w:autoSpaceDE w:val="0"/>
        <w:autoSpaceDN w:val="0"/>
        <w:adjustRightInd w:val="0"/>
        <w:rPr>
          <w:rFonts w:ascii="Segoe UI" w:hAnsi="Segoe UI" w:cs="Segoe UI"/>
          <w:color w:val="000000"/>
          <w:sz w:val="20"/>
          <w:szCs w:val="20"/>
        </w:rPr>
      </w:pPr>
      <w:r>
        <w:rPr>
          <w:rFonts w:ascii="Segoe UI" w:hAnsi="Segoe UI"/>
          <w:color w:val="000000"/>
          <w:sz w:val="20"/>
        </w:rPr>
        <w:t>Juli 2026</w:t>
      </w:r>
      <w:r w:rsidR="004A33C2">
        <w:rPr>
          <w:rFonts w:ascii="Segoe UI" w:hAnsi="Segoe UI"/>
          <w:color w:val="000000"/>
          <w:sz w:val="20"/>
        </w:rPr>
        <w:t>, Sensirion, 8712 Stäfa, Schweiz</w:t>
      </w:r>
    </w:p>
    <w:p w14:paraId="611A29FB" w14:textId="77777777" w:rsidR="00D0354C" w:rsidRPr="006C72A4" w:rsidRDefault="00D0354C" w:rsidP="00111EEF">
      <w:pPr>
        <w:autoSpaceDE w:val="0"/>
        <w:autoSpaceDN w:val="0"/>
        <w:adjustRightInd w:val="0"/>
        <w:rPr>
          <w:rFonts w:ascii="Segoe UI" w:hAnsi="Segoe UI" w:cs="Segoe UI"/>
          <w:color w:val="000000"/>
          <w:sz w:val="20"/>
          <w:szCs w:val="20"/>
        </w:rPr>
      </w:pPr>
    </w:p>
    <w:p w14:paraId="6DECCF33" w14:textId="01F0798F" w:rsidR="00A07046" w:rsidRPr="0025522C" w:rsidRDefault="0025522C" w:rsidP="00111EEF">
      <w:pPr>
        <w:rPr>
          <w:rFonts w:ascii="Segoe UI" w:hAnsi="Segoe UI"/>
          <w:b/>
          <w:bCs/>
          <w:color w:val="000000" w:themeColor="text1"/>
          <w:sz w:val="28"/>
        </w:rPr>
      </w:pPr>
      <w:proofErr w:type="spellStart"/>
      <w:r w:rsidRPr="0025522C">
        <w:rPr>
          <w:rFonts w:ascii="Segoe UI" w:hAnsi="Segoe UI"/>
          <w:b/>
          <w:color w:val="000000" w:themeColor="text1"/>
          <w:sz w:val="28"/>
        </w:rPr>
        <w:t>DynamiQ</w:t>
      </w:r>
      <w:proofErr w:type="spellEnd"/>
      <w:r w:rsidRPr="0025522C">
        <w:rPr>
          <w:rFonts w:ascii="Segoe UI" w:hAnsi="Segoe UI"/>
          <w:b/>
          <w:color w:val="000000" w:themeColor="text1"/>
          <w:sz w:val="28"/>
        </w:rPr>
        <w:t>-X universal: ein Mikro-Gaschromatograph der nächsten Generation für den weltweiten Einsatz</w:t>
      </w:r>
    </w:p>
    <w:p w14:paraId="30D5BA5C" w14:textId="77777777" w:rsidR="00A07046" w:rsidRPr="003633AA" w:rsidRDefault="00A07046" w:rsidP="00111EEF">
      <w:pPr>
        <w:pStyle w:val="paragraph"/>
        <w:spacing w:before="0" w:beforeAutospacing="0" w:after="0" w:afterAutospacing="0"/>
        <w:textAlignment w:val="baseline"/>
        <w:rPr>
          <w:rFonts w:ascii="Segoe UI" w:hAnsi="Segoe UI" w:cs="Segoe UI"/>
          <w:sz w:val="18"/>
          <w:szCs w:val="18"/>
        </w:rPr>
      </w:pPr>
      <w:r>
        <w:rPr>
          <w:rStyle w:val="normaltextrun"/>
          <w:sz w:val="22"/>
        </w:rPr>
        <w:t> </w:t>
      </w:r>
      <w:r>
        <w:rPr>
          <w:rStyle w:val="eop"/>
          <w:rFonts w:ascii="Arial Narrow" w:hAnsi="Arial Narrow"/>
          <w:sz w:val="22"/>
        </w:rPr>
        <w:t> </w:t>
      </w:r>
    </w:p>
    <w:p w14:paraId="125B2561" w14:textId="5B96B90C" w:rsidR="00A07046" w:rsidRPr="00A07046" w:rsidRDefault="008373B0" w:rsidP="00111EEF">
      <w:pPr>
        <w:rPr>
          <w:rFonts w:ascii="Segoe UI" w:hAnsi="Segoe UI"/>
          <w:b/>
          <w:sz w:val="22"/>
        </w:rPr>
      </w:pPr>
      <w:r>
        <w:rPr>
          <w:rFonts w:ascii="Segoe UI" w:hAnsi="Segoe UI"/>
          <w:b/>
          <w:sz w:val="22"/>
        </w:rPr>
        <w:t>Q</w:t>
      </w:r>
      <w:r w:rsidRPr="008373B0">
        <w:rPr>
          <w:rFonts w:ascii="Segoe UI" w:hAnsi="Segoe UI"/>
          <w:b/>
          <w:sz w:val="22"/>
        </w:rPr>
        <w:t xml:space="preserve">micro </w:t>
      </w:r>
      <w:proofErr w:type="spellStart"/>
      <w:r>
        <w:rPr>
          <w:rFonts w:ascii="Segoe UI" w:hAnsi="Segoe UI"/>
          <w:b/>
          <w:sz w:val="22"/>
        </w:rPr>
        <w:t>by</w:t>
      </w:r>
      <w:proofErr w:type="spellEnd"/>
      <w:r>
        <w:rPr>
          <w:rFonts w:ascii="Segoe UI" w:hAnsi="Segoe UI"/>
          <w:b/>
          <w:sz w:val="22"/>
        </w:rPr>
        <w:t xml:space="preserve"> </w:t>
      </w:r>
      <w:r w:rsidRPr="008373B0">
        <w:rPr>
          <w:rFonts w:ascii="Segoe UI" w:hAnsi="Segoe UI"/>
          <w:b/>
          <w:sz w:val="22"/>
        </w:rPr>
        <w:t xml:space="preserve">Sensirion kündigt die Markteinführung des </w:t>
      </w:r>
      <w:proofErr w:type="spellStart"/>
      <w:r w:rsidRPr="008373B0">
        <w:rPr>
          <w:rFonts w:ascii="Segoe UI" w:hAnsi="Segoe UI"/>
          <w:b/>
          <w:sz w:val="22"/>
        </w:rPr>
        <w:t>DynamiQ</w:t>
      </w:r>
      <w:proofErr w:type="spellEnd"/>
      <w:r w:rsidRPr="008373B0">
        <w:rPr>
          <w:rFonts w:ascii="Segoe UI" w:hAnsi="Segoe UI"/>
          <w:b/>
          <w:sz w:val="22"/>
        </w:rPr>
        <w:t xml:space="preserve">-X universal an, eine Neuheit in der </w:t>
      </w:r>
      <w:proofErr w:type="spellStart"/>
      <w:r w:rsidRPr="008373B0">
        <w:rPr>
          <w:rFonts w:ascii="Segoe UI" w:hAnsi="Segoe UI"/>
          <w:b/>
          <w:sz w:val="22"/>
        </w:rPr>
        <w:t>DynamiQ</w:t>
      </w:r>
      <w:proofErr w:type="spellEnd"/>
      <w:r w:rsidRPr="008373B0">
        <w:rPr>
          <w:rFonts w:ascii="Segoe UI" w:hAnsi="Segoe UI"/>
          <w:b/>
          <w:sz w:val="22"/>
        </w:rPr>
        <w:t xml:space="preserve">-X-Serie und ein Durchbruch in der weltweit einsetzbaren Mikro-Gaschromatographen-Technologie. Der </w:t>
      </w:r>
      <w:proofErr w:type="spellStart"/>
      <w:r w:rsidRPr="008373B0">
        <w:rPr>
          <w:rFonts w:ascii="Segoe UI" w:hAnsi="Segoe UI"/>
          <w:b/>
          <w:sz w:val="22"/>
        </w:rPr>
        <w:t>DynamiQ</w:t>
      </w:r>
      <w:proofErr w:type="spellEnd"/>
      <w:r w:rsidRPr="008373B0">
        <w:rPr>
          <w:rFonts w:ascii="Segoe UI" w:hAnsi="Segoe UI"/>
          <w:b/>
          <w:sz w:val="22"/>
        </w:rPr>
        <w:t>-X universal wurde für Unternehmen entwickelt, die in anspruchsvollen industriellen und gefährlichen Umgebungen arbeiten, und bietet echte internationale Einsatzfähigkeit ohne Kompromisse</w:t>
      </w:r>
      <w:r>
        <w:rPr>
          <w:rFonts w:ascii="Segoe UI" w:hAnsi="Segoe UI"/>
          <w:b/>
          <w:sz w:val="22"/>
        </w:rPr>
        <w:t>.</w:t>
      </w:r>
    </w:p>
    <w:p w14:paraId="4DB5B86E" w14:textId="0147089C" w:rsidR="00A07046" w:rsidRPr="003633AA" w:rsidRDefault="00A07046" w:rsidP="00111EEF">
      <w:pPr>
        <w:pStyle w:val="paragraph"/>
        <w:spacing w:before="0" w:beforeAutospacing="0" w:after="0" w:afterAutospacing="0"/>
        <w:textAlignment w:val="baseline"/>
        <w:rPr>
          <w:rFonts w:ascii="Segoe UI" w:hAnsi="Segoe UI" w:cs="Segoe UI"/>
          <w:sz w:val="18"/>
          <w:szCs w:val="18"/>
        </w:rPr>
      </w:pPr>
      <w:r>
        <w:rPr>
          <w:rStyle w:val="normaltextrun"/>
          <w:sz w:val="22"/>
        </w:rPr>
        <w:t> </w:t>
      </w:r>
      <w:r>
        <w:rPr>
          <w:rStyle w:val="eop"/>
          <w:rFonts w:ascii="Arial Narrow" w:hAnsi="Arial Narrow"/>
          <w:sz w:val="22"/>
        </w:rPr>
        <w:t> </w:t>
      </w:r>
    </w:p>
    <w:p w14:paraId="01C0CD9F" w14:textId="77777777" w:rsidR="00111EEF" w:rsidRDefault="00111EEF" w:rsidP="00111EEF">
      <w:pPr>
        <w:autoSpaceDE w:val="0"/>
        <w:autoSpaceDN w:val="0"/>
        <w:adjustRightInd w:val="0"/>
        <w:rPr>
          <w:rFonts w:ascii="Segoe UI" w:hAnsi="Segoe UI"/>
          <w:sz w:val="20"/>
        </w:rPr>
      </w:pPr>
      <w:r>
        <w:rPr>
          <w:rFonts w:ascii="Segoe UI" w:hAnsi="Segoe UI"/>
          <w:sz w:val="20"/>
        </w:rPr>
        <w:t xml:space="preserve">Der </w:t>
      </w:r>
      <w:r w:rsidRPr="00111EEF">
        <w:rPr>
          <w:rFonts w:ascii="Segoe UI" w:hAnsi="Segoe UI"/>
          <w:sz w:val="20"/>
        </w:rPr>
        <w:t xml:space="preserve">nach ATEX, </w:t>
      </w:r>
      <w:proofErr w:type="spellStart"/>
      <w:r w:rsidRPr="00111EEF">
        <w:rPr>
          <w:rFonts w:ascii="Segoe UI" w:hAnsi="Segoe UI"/>
          <w:sz w:val="20"/>
        </w:rPr>
        <w:t>IECEx</w:t>
      </w:r>
      <w:proofErr w:type="spellEnd"/>
      <w:r w:rsidRPr="00111EEF">
        <w:rPr>
          <w:rFonts w:ascii="Segoe UI" w:hAnsi="Segoe UI"/>
          <w:sz w:val="20"/>
        </w:rPr>
        <w:t xml:space="preserve"> und </w:t>
      </w:r>
      <w:proofErr w:type="spellStart"/>
      <w:r w:rsidRPr="00111EEF">
        <w:rPr>
          <w:rFonts w:ascii="Segoe UI" w:hAnsi="Segoe UI"/>
          <w:sz w:val="20"/>
        </w:rPr>
        <w:t>cQPSus</w:t>
      </w:r>
      <w:proofErr w:type="spellEnd"/>
      <w:r w:rsidRPr="00111EEF">
        <w:rPr>
          <w:rFonts w:ascii="Segoe UI" w:hAnsi="Segoe UI"/>
          <w:sz w:val="20"/>
        </w:rPr>
        <w:t xml:space="preserve"> zertifizierte </w:t>
      </w:r>
      <w:proofErr w:type="spellStart"/>
      <w:r w:rsidRPr="00111EEF">
        <w:rPr>
          <w:rFonts w:ascii="Segoe UI" w:hAnsi="Segoe UI"/>
          <w:sz w:val="20"/>
        </w:rPr>
        <w:t>DynamiQ</w:t>
      </w:r>
      <w:proofErr w:type="spellEnd"/>
      <w:r w:rsidRPr="00111EEF">
        <w:rPr>
          <w:rFonts w:ascii="Segoe UI" w:hAnsi="Segoe UI"/>
          <w:sz w:val="20"/>
        </w:rPr>
        <w:t>-X universal erfüllt strenge globale Vorgaben und ermöglicht einen sicheren und zuverlässigen Einsatz in Europa, Nordamerika und weiteren Regionen auf der ganzen Welt. Eine fest angebrachte Kabelkonfiguration für explosionsgefährdete Bereiche sorgt für einheitliche Installationsstandards, reduziert die Variabilität und vereinfacht die Integration an verschiedenen Einsatzorten. Für multinationale Unternehmen verringert dieses universelle Design die Komplexität deutlich, indem es eine einzige, standardisierte Lösung für den weltweiten Einsatz bietet.</w:t>
      </w:r>
    </w:p>
    <w:p w14:paraId="707C632D" w14:textId="77777777" w:rsidR="00111EEF" w:rsidRPr="00111EEF" w:rsidRDefault="00111EEF" w:rsidP="00111EEF">
      <w:pPr>
        <w:autoSpaceDE w:val="0"/>
        <w:autoSpaceDN w:val="0"/>
        <w:adjustRightInd w:val="0"/>
        <w:rPr>
          <w:rFonts w:ascii="Segoe UI" w:hAnsi="Segoe UI"/>
          <w:sz w:val="20"/>
        </w:rPr>
      </w:pPr>
    </w:p>
    <w:p w14:paraId="5C9CFB84" w14:textId="77777777" w:rsidR="00111EEF" w:rsidRDefault="00111EEF" w:rsidP="00111EEF">
      <w:pPr>
        <w:autoSpaceDE w:val="0"/>
        <w:autoSpaceDN w:val="0"/>
        <w:adjustRightInd w:val="0"/>
        <w:rPr>
          <w:rFonts w:ascii="Segoe UI" w:hAnsi="Segoe UI"/>
          <w:sz w:val="20"/>
        </w:rPr>
      </w:pPr>
      <w:r w:rsidRPr="00111EEF">
        <w:rPr>
          <w:rFonts w:ascii="Segoe UI" w:hAnsi="Segoe UI"/>
          <w:sz w:val="20"/>
        </w:rPr>
        <w:t xml:space="preserve">Als Teil der Produktfamilie </w:t>
      </w:r>
      <w:proofErr w:type="spellStart"/>
      <w:r w:rsidRPr="00111EEF">
        <w:rPr>
          <w:rFonts w:ascii="Segoe UI" w:hAnsi="Segoe UI"/>
          <w:sz w:val="20"/>
        </w:rPr>
        <w:t>DynamiQ</w:t>
      </w:r>
      <w:proofErr w:type="spellEnd"/>
      <w:r w:rsidRPr="00111EEF">
        <w:rPr>
          <w:rFonts w:ascii="Segoe UI" w:hAnsi="Segoe UI"/>
          <w:sz w:val="20"/>
        </w:rPr>
        <w:t xml:space="preserve">-X ist der </w:t>
      </w:r>
      <w:proofErr w:type="spellStart"/>
      <w:r w:rsidRPr="00111EEF">
        <w:rPr>
          <w:rFonts w:ascii="Segoe UI" w:hAnsi="Segoe UI"/>
          <w:sz w:val="20"/>
        </w:rPr>
        <w:t>DynamiQ</w:t>
      </w:r>
      <w:proofErr w:type="spellEnd"/>
      <w:r w:rsidRPr="00111EEF">
        <w:rPr>
          <w:rFonts w:ascii="Segoe UI" w:hAnsi="Segoe UI"/>
          <w:sz w:val="20"/>
        </w:rPr>
        <w:t xml:space="preserve">-X universal ein kompakter Mikro-Gaschromatographen-Analysator für die kontinuierliche Überwachung von Gasgemischen in industriellen Prozessen und der Fabrikautomation. Das Miniaturinstrument bietet eine komplette Analyse der Gaszusammensetzung in nur 30 Sekunden. Durch die Nutzung der fortschrittlichen </w:t>
      </w:r>
      <w:proofErr w:type="spellStart"/>
      <w:r w:rsidRPr="00111EEF">
        <w:rPr>
          <w:rFonts w:ascii="Segoe UI" w:hAnsi="Segoe UI"/>
          <w:sz w:val="20"/>
        </w:rPr>
        <w:t>Backflush</w:t>
      </w:r>
      <w:proofErr w:type="spellEnd"/>
      <w:r w:rsidRPr="00111EEF">
        <w:rPr>
          <w:rFonts w:ascii="Segoe UI" w:hAnsi="Segoe UI"/>
          <w:sz w:val="20"/>
        </w:rPr>
        <w:t>-zu-Detektor-Technologie führt es gleichzeitig Vorspül- und Rückspülanalysen durch und schützt dabei die GC-Säule, um die Lebensdauer zu verlängern und den Hochleistungsbetrieb aufrechtzuerhalten.</w:t>
      </w:r>
    </w:p>
    <w:p w14:paraId="5F1EE3E7" w14:textId="77777777" w:rsidR="006B3592" w:rsidRPr="00111EEF" w:rsidRDefault="006B3592" w:rsidP="00111EEF">
      <w:pPr>
        <w:autoSpaceDE w:val="0"/>
        <w:autoSpaceDN w:val="0"/>
        <w:adjustRightInd w:val="0"/>
        <w:rPr>
          <w:rFonts w:ascii="Segoe UI" w:hAnsi="Segoe UI"/>
          <w:sz w:val="20"/>
        </w:rPr>
      </w:pPr>
    </w:p>
    <w:p w14:paraId="0D69DDFC" w14:textId="77777777" w:rsidR="00111EEF" w:rsidRPr="00111EEF" w:rsidRDefault="00111EEF" w:rsidP="00111EEF">
      <w:pPr>
        <w:autoSpaceDE w:val="0"/>
        <w:autoSpaceDN w:val="0"/>
        <w:adjustRightInd w:val="0"/>
        <w:rPr>
          <w:rFonts w:ascii="Segoe UI" w:hAnsi="Segoe UI"/>
          <w:sz w:val="20"/>
        </w:rPr>
      </w:pPr>
      <w:r w:rsidRPr="00111EEF">
        <w:rPr>
          <w:rFonts w:ascii="Segoe UI" w:hAnsi="Segoe UI"/>
          <w:sz w:val="20"/>
        </w:rPr>
        <w:t xml:space="preserve">Mit seiner Kombination aus internationalen Zertifizierungen, standardisierter Konfiguration und robuster Sicherheitstechnologie setzt der </w:t>
      </w:r>
      <w:proofErr w:type="spellStart"/>
      <w:r w:rsidRPr="00111EEF">
        <w:rPr>
          <w:rFonts w:ascii="Segoe UI" w:hAnsi="Segoe UI"/>
          <w:sz w:val="20"/>
        </w:rPr>
        <w:t>DynamiQ</w:t>
      </w:r>
      <w:proofErr w:type="spellEnd"/>
      <w:r w:rsidRPr="00111EEF">
        <w:rPr>
          <w:rFonts w:ascii="Segoe UI" w:hAnsi="Segoe UI"/>
          <w:sz w:val="20"/>
        </w:rPr>
        <w:t>-X universal neue Massstäbe für den weltweiten Einsatz. Kunden können damit sicher und effizient arbeiten – überall auf der Welt.</w:t>
      </w:r>
    </w:p>
    <w:p w14:paraId="4784CC7A" w14:textId="77777777" w:rsidR="00D85621" w:rsidRDefault="00D85621" w:rsidP="00111EEF">
      <w:pPr>
        <w:autoSpaceDE w:val="0"/>
        <w:autoSpaceDN w:val="0"/>
        <w:adjustRightInd w:val="0"/>
        <w:rPr>
          <w:rFonts w:ascii="Segoe UI" w:hAnsi="Segoe UI"/>
          <w:sz w:val="20"/>
        </w:rPr>
      </w:pPr>
    </w:p>
    <w:p w14:paraId="3175CDA9" w14:textId="7EBD842E" w:rsidR="00111EEF" w:rsidRPr="00111EEF" w:rsidRDefault="00111EEF" w:rsidP="00111EEF">
      <w:pPr>
        <w:autoSpaceDE w:val="0"/>
        <w:autoSpaceDN w:val="0"/>
        <w:adjustRightInd w:val="0"/>
        <w:rPr>
          <w:rFonts w:ascii="Segoe UI" w:hAnsi="Segoe UI"/>
          <w:sz w:val="20"/>
        </w:rPr>
      </w:pPr>
      <w:r w:rsidRPr="00111EEF">
        <w:rPr>
          <w:rFonts w:ascii="Segoe UI" w:hAnsi="Segoe UI"/>
          <w:sz w:val="20"/>
        </w:rPr>
        <w:t xml:space="preserve">Der </w:t>
      </w:r>
      <w:proofErr w:type="spellStart"/>
      <w:r w:rsidRPr="00111EEF">
        <w:rPr>
          <w:rFonts w:ascii="Segoe UI" w:hAnsi="Segoe UI"/>
          <w:sz w:val="20"/>
        </w:rPr>
        <w:t>DynamiQ</w:t>
      </w:r>
      <w:proofErr w:type="spellEnd"/>
      <w:r w:rsidRPr="00111EEF">
        <w:rPr>
          <w:rFonts w:ascii="Segoe UI" w:hAnsi="Segoe UI"/>
          <w:sz w:val="20"/>
        </w:rPr>
        <w:t>-X universal ist jetzt für den weltweiten Einsatz erhältlich.</w:t>
      </w:r>
    </w:p>
    <w:p w14:paraId="7837D49E" w14:textId="77777777" w:rsidR="00D85621" w:rsidRDefault="00D85621" w:rsidP="00111EEF">
      <w:pPr>
        <w:autoSpaceDE w:val="0"/>
        <w:autoSpaceDN w:val="0"/>
        <w:adjustRightInd w:val="0"/>
        <w:rPr>
          <w:rFonts w:ascii="Segoe UI" w:hAnsi="Segoe UI"/>
          <w:sz w:val="20"/>
        </w:rPr>
      </w:pPr>
    </w:p>
    <w:p w14:paraId="4F7124A8" w14:textId="3E7B8397" w:rsidR="00A07046" w:rsidRPr="00A414A3" w:rsidRDefault="00111EEF" w:rsidP="00111EEF">
      <w:pPr>
        <w:autoSpaceDE w:val="0"/>
        <w:autoSpaceDN w:val="0"/>
        <w:adjustRightInd w:val="0"/>
        <w:rPr>
          <w:rFonts w:ascii="Segoe UI" w:hAnsi="Segoe UI"/>
          <w:sz w:val="20"/>
          <w:u w:val="single"/>
        </w:rPr>
      </w:pPr>
      <w:r w:rsidRPr="00111EEF">
        <w:rPr>
          <w:rFonts w:ascii="Segoe UI" w:hAnsi="Segoe UI"/>
          <w:sz w:val="20"/>
        </w:rPr>
        <w:t xml:space="preserve">Weitere Informationen zum </w:t>
      </w:r>
      <w:proofErr w:type="spellStart"/>
      <w:r w:rsidRPr="00111EEF">
        <w:rPr>
          <w:rFonts w:ascii="Segoe UI" w:hAnsi="Segoe UI"/>
          <w:sz w:val="20"/>
        </w:rPr>
        <w:t>DynamiQ</w:t>
      </w:r>
      <w:proofErr w:type="spellEnd"/>
      <w:r w:rsidRPr="00111EEF">
        <w:rPr>
          <w:rFonts w:ascii="Segoe UI" w:hAnsi="Segoe UI"/>
          <w:sz w:val="20"/>
        </w:rPr>
        <w:t>-X universal</w:t>
      </w:r>
      <w:r w:rsidR="008B7880">
        <w:rPr>
          <w:rFonts w:ascii="Segoe UI" w:hAnsi="Segoe UI"/>
          <w:sz w:val="20"/>
        </w:rPr>
        <w:t xml:space="preserve">: </w:t>
      </w:r>
      <w:hyperlink r:id="rId10" w:history="1">
        <w:r w:rsidR="00A414A3" w:rsidRPr="00A414A3">
          <w:rPr>
            <w:rStyle w:val="Hyperlink"/>
            <w:rFonts w:ascii="Segoe UI" w:hAnsi="Segoe UI"/>
            <w:color w:val="auto"/>
            <w:sz w:val="20"/>
          </w:rPr>
          <w:t>https://www.qmicro.com/products/versatile-gc-analyzers/dynamiq-x</w:t>
        </w:r>
      </w:hyperlink>
      <w:r w:rsidR="00A414A3" w:rsidRPr="00A414A3">
        <w:rPr>
          <w:rFonts w:ascii="Segoe UI" w:hAnsi="Segoe UI"/>
          <w:sz w:val="20"/>
        </w:rPr>
        <w:t xml:space="preserve"> </w:t>
      </w:r>
    </w:p>
    <w:p w14:paraId="429832EC" w14:textId="77777777" w:rsidR="00A07046" w:rsidRPr="00A414A3" w:rsidRDefault="00A07046" w:rsidP="00A07046">
      <w:pPr>
        <w:pStyle w:val="paragraph"/>
        <w:spacing w:before="0" w:beforeAutospacing="0" w:after="0" w:afterAutospacing="0"/>
        <w:jc w:val="both"/>
        <w:textAlignment w:val="baseline"/>
        <w:rPr>
          <w:rFonts w:ascii="Segoe UI" w:hAnsi="Segoe UI" w:cs="Segoe UI"/>
          <w:sz w:val="18"/>
          <w:szCs w:val="18"/>
        </w:rPr>
      </w:pPr>
      <w:r w:rsidRPr="00A414A3">
        <w:rPr>
          <w:rStyle w:val="normaltextrun"/>
          <w:rFonts w:ascii="Segoe UI" w:hAnsi="Segoe UI"/>
        </w:rPr>
        <w:t> </w:t>
      </w:r>
      <w:r w:rsidRPr="00A414A3">
        <w:rPr>
          <w:rStyle w:val="eop"/>
          <w:rFonts w:ascii="Segoe UI" w:hAnsi="Segoe UI"/>
          <w:sz w:val="20"/>
        </w:rPr>
        <w:t> </w:t>
      </w:r>
    </w:p>
    <w:p w14:paraId="4A826126" w14:textId="77777777" w:rsidR="004A33C2" w:rsidRPr="00806892" w:rsidRDefault="004A33C2" w:rsidP="004A33C2">
      <w:pPr>
        <w:autoSpaceDE w:val="0"/>
        <w:autoSpaceDN w:val="0"/>
        <w:adjustRightInd w:val="0"/>
        <w:jc w:val="both"/>
        <w:rPr>
          <w:rFonts w:ascii="Segoe UI" w:hAnsi="Segoe UI" w:cs="Segoe UI"/>
          <w:color w:val="000000"/>
          <w:sz w:val="20"/>
          <w:szCs w:val="20"/>
        </w:rPr>
      </w:pPr>
    </w:p>
    <w:p w14:paraId="233F5032" w14:textId="5D6C46FA" w:rsidR="009933FA" w:rsidRPr="004A33C2" w:rsidRDefault="009933FA" w:rsidP="009933FA">
      <w:pPr>
        <w:pBdr>
          <w:top w:val="single" w:sz="4" w:space="5" w:color="auto"/>
        </w:pBdr>
        <w:spacing w:after="120"/>
        <w:rPr>
          <w:rFonts w:ascii="Segoe UI" w:hAnsi="Segoe UI" w:cs="Segoe UI"/>
          <w:b/>
          <w:bCs/>
          <w:color w:val="000000"/>
          <w:sz w:val="20"/>
          <w:szCs w:val="20"/>
        </w:rPr>
      </w:pPr>
      <w:r>
        <w:rPr>
          <w:rFonts w:ascii="Segoe UI" w:hAnsi="Segoe UI"/>
          <w:b/>
          <w:color w:val="000000"/>
          <w:sz w:val="20"/>
        </w:rPr>
        <w:t>Qmicro von Sensirion</w:t>
      </w:r>
    </w:p>
    <w:p w14:paraId="03E07EC1" w14:textId="77777777" w:rsidR="00D17AB9" w:rsidRDefault="004A33C2" w:rsidP="00841FCF">
      <w:pPr>
        <w:pBdr>
          <w:top w:val="single" w:sz="4" w:space="5" w:color="auto"/>
        </w:pBdr>
        <w:spacing w:after="120"/>
        <w:rPr>
          <w:rFonts w:ascii="Segoe UI" w:hAnsi="Segoe UI"/>
          <w:color w:val="000000"/>
          <w:sz w:val="20"/>
        </w:rPr>
      </w:pPr>
      <w:r>
        <w:rPr>
          <w:rFonts w:ascii="Segoe UI" w:hAnsi="Segoe UI"/>
          <w:color w:val="000000"/>
          <w:sz w:val="20"/>
        </w:rPr>
        <w:t xml:space="preserve">Qmicro bietet Hightechprodukte und -lösungen für die Online-Analyse der Gaszusammensetzung mit der </w:t>
      </w:r>
      <w:proofErr w:type="spellStart"/>
      <w:r>
        <w:rPr>
          <w:rFonts w:ascii="Segoe UI" w:hAnsi="Segoe UI"/>
          <w:color w:val="000000"/>
          <w:sz w:val="20"/>
        </w:rPr>
        <w:t>microGC</w:t>
      </w:r>
      <w:proofErr w:type="spellEnd"/>
      <w:r>
        <w:rPr>
          <w:rFonts w:ascii="Segoe UI" w:hAnsi="Segoe UI"/>
          <w:color w:val="000000"/>
          <w:sz w:val="20"/>
        </w:rPr>
        <w:t xml:space="preserve">-Chip-Technologie (MEMS). Anwendungsbereiche sind die industrielle Prozesssteuerung und die Automatisierung. Die von </w:t>
      </w:r>
      <w:proofErr w:type="spellStart"/>
      <w:r>
        <w:rPr>
          <w:rFonts w:ascii="Segoe UI" w:hAnsi="Segoe UI"/>
          <w:color w:val="000000"/>
          <w:sz w:val="20"/>
        </w:rPr>
        <w:t>Qmicros</w:t>
      </w:r>
      <w:proofErr w:type="spellEnd"/>
      <w:r>
        <w:rPr>
          <w:rFonts w:ascii="Segoe UI" w:hAnsi="Segoe UI"/>
          <w:color w:val="000000"/>
          <w:sz w:val="20"/>
        </w:rPr>
        <w:t xml:space="preserve"> entwickelte </w:t>
      </w:r>
      <w:proofErr w:type="spellStart"/>
      <w:r>
        <w:rPr>
          <w:rFonts w:ascii="Segoe UI" w:hAnsi="Segoe UI"/>
          <w:color w:val="000000"/>
          <w:sz w:val="20"/>
        </w:rPr>
        <w:t>microGC</w:t>
      </w:r>
      <w:proofErr w:type="spellEnd"/>
      <w:r>
        <w:rPr>
          <w:rFonts w:ascii="Segoe UI" w:hAnsi="Segoe UI"/>
          <w:color w:val="000000"/>
          <w:sz w:val="20"/>
        </w:rPr>
        <w:t>-Produktreihe für Gasanalysen „</w:t>
      </w:r>
      <w:proofErr w:type="spellStart"/>
      <w:r>
        <w:rPr>
          <w:rFonts w:ascii="Segoe UI" w:hAnsi="Segoe UI"/>
          <w:color w:val="000000"/>
          <w:sz w:val="20"/>
        </w:rPr>
        <w:t>DynamiQ</w:t>
      </w:r>
      <w:proofErr w:type="spellEnd"/>
      <w:r>
        <w:rPr>
          <w:rFonts w:ascii="Segoe UI" w:hAnsi="Segoe UI"/>
          <w:color w:val="000000"/>
          <w:sz w:val="20"/>
        </w:rPr>
        <w:t>“ umfasst Online-Gasüberwachungseinheiten, die für ausgewählte Kunden in anwendungsspezifischen Konfigurationen und Mengen bereitgestellt werden. Zu diesen Kunden zählen normalerweise Systemintegratoren, OEM und spezialisierte Vertriebspartner. So werden die Instrumente jeweils für eine spezifische Anwendung konfiguriert und dann als Analysegeräte für eben diese Anwendung verkauft. Seit 2021 gehört Qmicro zu Sensirion.</w:t>
      </w:r>
    </w:p>
    <w:p w14:paraId="6B1FD136" w14:textId="77777777" w:rsidR="00841FCF" w:rsidRDefault="00841FCF" w:rsidP="00841FCF">
      <w:pPr>
        <w:pBdr>
          <w:top w:val="single" w:sz="4" w:space="5" w:color="auto"/>
        </w:pBdr>
        <w:spacing w:after="120"/>
        <w:rPr>
          <w:rFonts w:ascii="Segoe UI" w:hAnsi="Segoe UI" w:cs="Segoe UI"/>
          <w:color w:val="000000"/>
          <w:sz w:val="20"/>
          <w:szCs w:val="20"/>
        </w:rPr>
      </w:pPr>
      <w:r w:rsidRPr="00841FCF">
        <w:rPr>
          <w:rFonts w:ascii="Segoe UI" w:hAnsi="Segoe UI" w:cs="Segoe UI"/>
          <w:color w:val="000000"/>
          <w:sz w:val="20"/>
          <w:szCs w:val="20"/>
        </w:rPr>
        <w:t xml:space="preserve">Sensirion ist einer der weltweit führenden Entwickler und Hersteller von Sensoren und Sensorlösungen, die für mehr Effizienz, Gesundheit, Sicherheit und Komfort sorgen. 1998 gegründet, beschäftigt </w:t>
      </w:r>
      <w:r w:rsidRPr="00841FCF">
        <w:rPr>
          <w:rFonts w:ascii="Segoe UI" w:hAnsi="Segoe UI" w:cs="Segoe UI"/>
          <w:color w:val="000000"/>
          <w:sz w:val="20"/>
          <w:szCs w:val="20"/>
        </w:rPr>
        <w:lastRenderedPageBreak/>
        <w:t xml:space="preserve">Sensirion heute am Hauptsitz in Stäfa (Schweiz) sowie in zahlreichen internationalen Niederlassungen rund 1’000 Mitarbeitende. Mit den Sensoren von Sensirion lassen sich unterschiedlichste Umweltparameter sowie Durchflüsse präzis und zuverlässig messen. Ziel des Unternehmens ist es, die Welt mit wegweisender Sensortechnologie smarter zu machen. Als Innovationspionier entwickelt Sensirion Lösungen für die spezifischen Bedürfnisse von Kunden und Partnern aus der Automobilindustrie, Industrie, Medizintechnik und Unterhaltungselektronik ebenso wie hochwertige Produkte für die kosteneffiziente Massenproduktion. </w:t>
      </w:r>
    </w:p>
    <w:p w14:paraId="2A40A4D9" w14:textId="4922C398" w:rsidR="00BE258E" w:rsidRPr="00C35B0B" w:rsidRDefault="00841FCF" w:rsidP="00841FCF">
      <w:pPr>
        <w:pBdr>
          <w:top w:val="single" w:sz="4" w:space="5" w:color="auto"/>
        </w:pBdr>
        <w:spacing w:after="120"/>
        <w:rPr>
          <w:rFonts w:ascii="Segoe UI" w:hAnsi="Segoe UI" w:cs="Segoe UI"/>
          <w:color w:val="000000"/>
          <w:sz w:val="20"/>
          <w:szCs w:val="20"/>
          <w:lang w:val="en-US"/>
        </w:rPr>
      </w:pPr>
      <w:r w:rsidRPr="00C35B0B">
        <w:rPr>
          <w:rFonts w:ascii="Segoe UI" w:hAnsi="Segoe UI" w:cs="Segoe UI"/>
          <w:color w:val="000000"/>
          <w:sz w:val="20"/>
          <w:szCs w:val="20"/>
          <w:lang w:val="en-US"/>
        </w:rPr>
        <w:t xml:space="preserve">Mehr </w:t>
      </w:r>
      <w:proofErr w:type="spellStart"/>
      <w:r w:rsidRPr="00C35B0B">
        <w:rPr>
          <w:rFonts w:ascii="Segoe UI" w:hAnsi="Segoe UI" w:cs="Segoe UI"/>
          <w:color w:val="000000"/>
          <w:sz w:val="20"/>
          <w:szCs w:val="20"/>
          <w:lang w:val="en-US"/>
        </w:rPr>
        <w:t>Informationen</w:t>
      </w:r>
      <w:proofErr w:type="spellEnd"/>
      <w:r w:rsidRPr="00C35B0B">
        <w:rPr>
          <w:rFonts w:ascii="Segoe UI" w:hAnsi="Segoe UI" w:cs="Segoe UI"/>
          <w:color w:val="000000"/>
          <w:sz w:val="20"/>
          <w:szCs w:val="20"/>
          <w:lang w:val="en-US"/>
        </w:rPr>
        <w:t xml:space="preserve">: </w:t>
      </w:r>
      <w:r w:rsidR="00BE258E" w:rsidRPr="00C35B0B">
        <w:rPr>
          <w:rFonts w:ascii="Segoe UI" w:hAnsi="Segoe UI" w:cs="Segoe UI"/>
          <w:color w:val="000000"/>
          <w:sz w:val="20"/>
          <w:szCs w:val="20"/>
          <w:lang w:val="en-US"/>
        </w:rPr>
        <w:t>www.qmicro.com</w:t>
      </w:r>
    </w:p>
    <w:sectPr w:rsidR="00BE258E" w:rsidRPr="00C35B0B" w:rsidSect="007573AA">
      <w:headerReference w:type="default" r:id="rId11"/>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8066" w14:textId="77777777" w:rsidR="009822E7" w:rsidRDefault="009822E7">
      <w:r>
        <w:separator/>
      </w:r>
    </w:p>
  </w:endnote>
  <w:endnote w:type="continuationSeparator" w:id="0">
    <w:p w14:paraId="45DBA0AC" w14:textId="77777777" w:rsidR="009822E7" w:rsidRDefault="009822E7">
      <w:r>
        <w:continuationSeparator/>
      </w:r>
    </w:p>
  </w:endnote>
  <w:endnote w:type="continuationNotice" w:id="1">
    <w:p w14:paraId="0FF99E47" w14:textId="77777777" w:rsidR="009822E7" w:rsidRDefault="0098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E4295" w14:textId="77777777" w:rsidR="009822E7" w:rsidRDefault="009822E7">
      <w:r>
        <w:separator/>
      </w:r>
    </w:p>
  </w:footnote>
  <w:footnote w:type="continuationSeparator" w:id="0">
    <w:p w14:paraId="3B0627BF" w14:textId="77777777" w:rsidR="009822E7" w:rsidRDefault="009822E7">
      <w:r>
        <w:continuationSeparator/>
      </w:r>
    </w:p>
  </w:footnote>
  <w:footnote w:type="continuationNotice" w:id="1">
    <w:p w14:paraId="192FBF9D" w14:textId="77777777" w:rsidR="009822E7" w:rsidRDefault="00982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2A0B" w14:textId="4B2573D6" w:rsidR="00CB4A79" w:rsidRPr="00E90737" w:rsidRDefault="00BE258E">
    <w:pPr>
      <w:pStyle w:val="Header"/>
    </w:pPr>
    <w:r>
      <w:rPr>
        <w:noProof/>
      </w:rPr>
      <w:drawing>
        <wp:anchor distT="0" distB="0" distL="114300" distR="114300" simplePos="0" relativeHeight="251658240" behindDoc="0" locked="0" layoutInCell="1" allowOverlap="1" wp14:anchorId="4F7930EC" wp14:editId="7E6A9A6D">
          <wp:simplePos x="0" y="0"/>
          <wp:positionH relativeFrom="margin">
            <wp:align>right</wp:align>
          </wp:positionH>
          <wp:positionV relativeFrom="paragraph">
            <wp:posOffset>-266382</wp:posOffset>
          </wp:positionV>
          <wp:extent cx="1328420" cy="398145"/>
          <wp:effectExtent l="0" t="0" r="5080" b="1905"/>
          <wp:wrapSquare wrapText="bothSides"/>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20" cy="398145"/>
                  </a:xfrm>
                  <a:prstGeom prst="rect">
                    <a:avLst/>
                  </a:prstGeom>
                  <a:noFill/>
                  <a:ln>
                    <a:noFill/>
                  </a:ln>
                </pic:spPr>
              </pic:pic>
            </a:graphicData>
          </a:graphic>
        </wp:anchor>
      </w:drawing>
    </w:r>
    <w:r w:rsidR="00CB4A79">
      <w:tab/>
    </w:r>
    <w:r w:rsidR="00CB4A79">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1NTWyMDE2MTc1MDVU0lEKTi0uzszPAykwrQUAZfWpWywAAAA="/>
  </w:docVars>
  <w:rsids>
    <w:rsidRoot w:val="00DD6D64"/>
    <w:rsid w:val="00002E97"/>
    <w:rsid w:val="00004A95"/>
    <w:rsid w:val="00006513"/>
    <w:rsid w:val="000075CB"/>
    <w:rsid w:val="0008453B"/>
    <w:rsid w:val="00094950"/>
    <w:rsid w:val="000D0196"/>
    <w:rsid w:val="000F0044"/>
    <w:rsid w:val="001060CC"/>
    <w:rsid w:val="00111EEF"/>
    <w:rsid w:val="001214B1"/>
    <w:rsid w:val="00140630"/>
    <w:rsid w:val="0014661E"/>
    <w:rsid w:val="001500AB"/>
    <w:rsid w:val="00160682"/>
    <w:rsid w:val="00164850"/>
    <w:rsid w:val="00176F51"/>
    <w:rsid w:val="001A40D2"/>
    <w:rsid w:val="001B1B97"/>
    <w:rsid w:val="001B4EE5"/>
    <w:rsid w:val="001E516E"/>
    <w:rsid w:val="001F5F95"/>
    <w:rsid w:val="00204682"/>
    <w:rsid w:val="00214FE7"/>
    <w:rsid w:val="002171D1"/>
    <w:rsid w:val="00226365"/>
    <w:rsid w:val="00227E40"/>
    <w:rsid w:val="002372E9"/>
    <w:rsid w:val="00252B7B"/>
    <w:rsid w:val="0025522C"/>
    <w:rsid w:val="0027260C"/>
    <w:rsid w:val="002960BC"/>
    <w:rsid w:val="002B1C9D"/>
    <w:rsid w:val="002C7A35"/>
    <w:rsid w:val="002E2B3A"/>
    <w:rsid w:val="002F216C"/>
    <w:rsid w:val="002F54B5"/>
    <w:rsid w:val="002F5CE5"/>
    <w:rsid w:val="0030299F"/>
    <w:rsid w:val="00315B9F"/>
    <w:rsid w:val="003200BA"/>
    <w:rsid w:val="00325B7D"/>
    <w:rsid w:val="00331576"/>
    <w:rsid w:val="00335717"/>
    <w:rsid w:val="00341A87"/>
    <w:rsid w:val="00361DB8"/>
    <w:rsid w:val="00366CC7"/>
    <w:rsid w:val="0038111C"/>
    <w:rsid w:val="00381531"/>
    <w:rsid w:val="003A685B"/>
    <w:rsid w:val="003C45F9"/>
    <w:rsid w:val="003E26FE"/>
    <w:rsid w:val="003F0694"/>
    <w:rsid w:val="003F38E2"/>
    <w:rsid w:val="003F38F0"/>
    <w:rsid w:val="004161B0"/>
    <w:rsid w:val="00433964"/>
    <w:rsid w:val="00440299"/>
    <w:rsid w:val="0044413B"/>
    <w:rsid w:val="004739CA"/>
    <w:rsid w:val="00476224"/>
    <w:rsid w:val="0047781C"/>
    <w:rsid w:val="0048466A"/>
    <w:rsid w:val="00492454"/>
    <w:rsid w:val="00496B1D"/>
    <w:rsid w:val="004A33C2"/>
    <w:rsid w:val="004A3C64"/>
    <w:rsid w:val="004A4C6C"/>
    <w:rsid w:val="004C512C"/>
    <w:rsid w:val="004E400C"/>
    <w:rsid w:val="00525070"/>
    <w:rsid w:val="00546FA9"/>
    <w:rsid w:val="00556390"/>
    <w:rsid w:val="005641DD"/>
    <w:rsid w:val="0057509A"/>
    <w:rsid w:val="00577838"/>
    <w:rsid w:val="00585CE2"/>
    <w:rsid w:val="00596B3F"/>
    <w:rsid w:val="005A0BB8"/>
    <w:rsid w:val="005C43EB"/>
    <w:rsid w:val="005C5310"/>
    <w:rsid w:val="005C5ECF"/>
    <w:rsid w:val="00602594"/>
    <w:rsid w:val="00605BF7"/>
    <w:rsid w:val="0060715E"/>
    <w:rsid w:val="00615281"/>
    <w:rsid w:val="00616CC4"/>
    <w:rsid w:val="0061738D"/>
    <w:rsid w:val="006332E2"/>
    <w:rsid w:val="00637D7D"/>
    <w:rsid w:val="006618E9"/>
    <w:rsid w:val="00670AA9"/>
    <w:rsid w:val="006739DD"/>
    <w:rsid w:val="00684D63"/>
    <w:rsid w:val="00694C0F"/>
    <w:rsid w:val="006A7E66"/>
    <w:rsid w:val="006B3592"/>
    <w:rsid w:val="006B3A31"/>
    <w:rsid w:val="006C1F4A"/>
    <w:rsid w:val="006C72A4"/>
    <w:rsid w:val="00724B5B"/>
    <w:rsid w:val="00732342"/>
    <w:rsid w:val="00746113"/>
    <w:rsid w:val="007573AA"/>
    <w:rsid w:val="00766190"/>
    <w:rsid w:val="00770710"/>
    <w:rsid w:val="007D5F4F"/>
    <w:rsid w:val="007E576C"/>
    <w:rsid w:val="007F17D5"/>
    <w:rsid w:val="007F2891"/>
    <w:rsid w:val="007F6045"/>
    <w:rsid w:val="0080588A"/>
    <w:rsid w:val="00806892"/>
    <w:rsid w:val="00817626"/>
    <w:rsid w:val="00820CF5"/>
    <w:rsid w:val="008231DC"/>
    <w:rsid w:val="00830F0A"/>
    <w:rsid w:val="00835F01"/>
    <w:rsid w:val="008373B0"/>
    <w:rsid w:val="00841ABB"/>
    <w:rsid w:val="00841FCF"/>
    <w:rsid w:val="008434A1"/>
    <w:rsid w:val="008634A8"/>
    <w:rsid w:val="00864EE0"/>
    <w:rsid w:val="00867473"/>
    <w:rsid w:val="008808D2"/>
    <w:rsid w:val="008822DC"/>
    <w:rsid w:val="00885743"/>
    <w:rsid w:val="008909DD"/>
    <w:rsid w:val="008B0BFD"/>
    <w:rsid w:val="008B1CFD"/>
    <w:rsid w:val="008B6260"/>
    <w:rsid w:val="008B7880"/>
    <w:rsid w:val="008C0341"/>
    <w:rsid w:val="008C7923"/>
    <w:rsid w:val="008E4D0D"/>
    <w:rsid w:val="008E7C7A"/>
    <w:rsid w:val="0090392E"/>
    <w:rsid w:val="009160CD"/>
    <w:rsid w:val="009169F1"/>
    <w:rsid w:val="0092314D"/>
    <w:rsid w:val="00925145"/>
    <w:rsid w:val="009332ED"/>
    <w:rsid w:val="009416CC"/>
    <w:rsid w:val="009502C3"/>
    <w:rsid w:val="009755D7"/>
    <w:rsid w:val="0097744C"/>
    <w:rsid w:val="00981635"/>
    <w:rsid w:val="009822E7"/>
    <w:rsid w:val="00985CD1"/>
    <w:rsid w:val="009933FA"/>
    <w:rsid w:val="009A182D"/>
    <w:rsid w:val="009D1AB7"/>
    <w:rsid w:val="009E52B9"/>
    <w:rsid w:val="009F041E"/>
    <w:rsid w:val="009F4242"/>
    <w:rsid w:val="009F69C0"/>
    <w:rsid w:val="00A065AF"/>
    <w:rsid w:val="00A07046"/>
    <w:rsid w:val="00A07525"/>
    <w:rsid w:val="00A20E99"/>
    <w:rsid w:val="00A23106"/>
    <w:rsid w:val="00A25E42"/>
    <w:rsid w:val="00A35DD1"/>
    <w:rsid w:val="00A414A3"/>
    <w:rsid w:val="00A42298"/>
    <w:rsid w:val="00A42FC0"/>
    <w:rsid w:val="00A44856"/>
    <w:rsid w:val="00A4647F"/>
    <w:rsid w:val="00A468A6"/>
    <w:rsid w:val="00A9708A"/>
    <w:rsid w:val="00AA3D34"/>
    <w:rsid w:val="00AB2865"/>
    <w:rsid w:val="00AB3B4C"/>
    <w:rsid w:val="00AB41C4"/>
    <w:rsid w:val="00AD4AAE"/>
    <w:rsid w:val="00AD5B8F"/>
    <w:rsid w:val="00AE3CD4"/>
    <w:rsid w:val="00AF3B9D"/>
    <w:rsid w:val="00B0082F"/>
    <w:rsid w:val="00B1070D"/>
    <w:rsid w:val="00B30743"/>
    <w:rsid w:val="00B64300"/>
    <w:rsid w:val="00B94BD5"/>
    <w:rsid w:val="00BB2BB5"/>
    <w:rsid w:val="00BB34BF"/>
    <w:rsid w:val="00BD01C1"/>
    <w:rsid w:val="00BD25E6"/>
    <w:rsid w:val="00BE121C"/>
    <w:rsid w:val="00BE258E"/>
    <w:rsid w:val="00BF14FA"/>
    <w:rsid w:val="00BF508C"/>
    <w:rsid w:val="00BF686F"/>
    <w:rsid w:val="00C03174"/>
    <w:rsid w:val="00C11983"/>
    <w:rsid w:val="00C32A4F"/>
    <w:rsid w:val="00C35B0B"/>
    <w:rsid w:val="00C42057"/>
    <w:rsid w:val="00C4368A"/>
    <w:rsid w:val="00C46427"/>
    <w:rsid w:val="00C46C48"/>
    <w:rsid w:val="00C5779D"/>
    <w:rsid w:val="00C61A94"/>
    <w:rsid w:val="00C706B7"/>
    <w:rsid w:val="00C9796F"/>
    <w:rsid w:val="00CB4A79"/>
    <w:rsid w:val="00CD4E7C"/>
    <w:rsid w:val="00CD53C0"/>
    <w:rsid w:val="00CE27D5"/>
    <w:rsid w:val="00D0354C"/>
    <w:rsid w:val="00D0428B"/>
    <w:rsid w:val="00D17AB9"/>
    <w:rsid w:val="00D442D6"/>
    <w:rsid w:val="00D450D7"/>
    <w:rsid w:val="00D53A40"/>
    <w:rsid w:val="00D574B7"/>
    <w:rsid w:val="00D75057"/>
    <w:rsid w:val="00D85621"/>
    <w:rsid w:val="00D90283"/>
    <w:rsid w:val="00D90C4C"/>
    <w:rsid w:val="00D91B88"/>
    <w:rsid w:val="00DA081D"/>
    <w:rsid w:val="00DA0E07"/>
    <w:rsid w:val="00DD6D64"/>
    <w:rsid w:val="00DE2DB1"/>
    <w:rsid w:val="00E02E19"/>
    <w:rsid w:val="00E2065E"/>
    <w:rsid w:val="00E241D3"/>
    <w:rsid w:val="00E27B20"/>
    <w:rsid w:val="00E37DBC"/>
    <w:rsid w:val="00E53FFF"/>
    <w:rsid w:val="00E75682"/>
    <w:rsid w:val="00E80DD7"/>
    <w:rsid w:val="00E90737"/>
    <w:rsid w:val="00E9090B"/>
    <w:rsid w:val="00EB1E71"/>
    <w:rsid w:val="00EB4B54"/>
    <w:rsid w:val="00EC4DF5"/>
    <w:rsid w:val="00ED3E9A"/>
    <w:rsid w:val="00EE1A31"/>
    <w:rsid w:val="00EE59E9"/>
    <w:rsid w:val="00F03806"/>
    <w:rsid w:val="00F07089"/>
    <w:rsid w:val="00F12F13"/>
    <w:rsid w:val="00F2035B"/>
    <w:rsid w:val="00F21A7F"/>
    <w:rsid w:val="00F23B3F"/>
    <w:rsid w:val="00F35D58"/>
    <w:rsid w:val="00F37BBD"/>
    <w:rsid w:val="00F42CA5"/>
    <w:rsid w:val="00F44EF5"/>
    <w:rsid w:val="00F47CB9"/>
    <w:rsid w:val="00F52652"/>
    <w:rsid w:val="00F53409"/>
    <w:rsid w:val="00F747EA"/>
    <w:rsid w:val="00F8317F"/>
    <w:rsid w:val="00F900F9"/>
    <w:rsid w:val="00F97030"/>
    <w:rsid w:val="00F97C3E"/>
    <w:rsid w:val="00FA66E7"/>
    <w:rsid w:val="00FC292F"/>
    <w:rsid w:val="00FC6366"/>
    <w:rsid w:val="00FC7873"/>
    <w:rsid w:val="00FF1D02"/>
    <w:rsid w:val="00FF319B"/>
    <w:rsid w:val="00FF768D"/>
    <w:rsid w:val="0966B51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A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D64"/>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D6D64"/>
    <w:rPr>
      <w:rFonts w:ascii="Tahoma" w:hAnsi="Tahoma" w:cs="Tahoma"/>
      <w:sz w:val="16"/>
      <w:szCs w:val="16"/>
    </w:rPr>
  </w:style>
  <w:style w:type="character" w:styleId="Hyperlink">
    <w:name w:val="Hyperlink"/>
    <w:basedOn w:val="DefaultParagraphFont"/>
    <w:rsid w:val="00DD6D64"/>
    <w:rPr>
      <w:color w:val="0000FF"/>
      <w:u w:val="single"/>
    </w:rPr>
  </w:style>
  <w:style w:type="character" w:styleId="CommentReference">
    <w:name w:val="annotation reference"/>
    <w:basedOn w:val="DefaultParagraphFont"/>
    <w:semiHidden/>
    <w:rsid w:val="00D75057"/>
    <w:rPr>
      <w:sz w:val="16"/>
      <w:szCs w:val="16"/>
    </w:rPr>
  </w:style>
  <w:style w:type="paragraph" w:styleId="CommentText">
    <w:name w:val="annotation text"/>
    <w:basedOn w:val="Normal"/>
    <w:semiHidden/>
    <w:rsid w:val="00D75057"/>
    <w:rPr>
      <w:sz w:val="20"/>
      <w:szCs w:val="20"/>
    </w:rPr>
  </w:style>
  <w:style w:type="paragraph" w:styleId="CommentSubject">
    <w:name w:val="annotation subject"/>
    <w:basedOn w:val="CommentText"/>
    <w:next w:val="CommentText"/>
    <w:semiHidden/>
    <w:rsid w:val="00D75057"/>
    <w:rPr>
      <w:b/>
      <w:bCs/>
    </w:rPr>
  </w:style>
  <w:style w:type="paragraph" w:styleId="Header">
    <w:name w:val="header"/>
    <w:basedOn w:val="Normal"/>
    <w:rsid w:val="00E90737"/>
    <w:pPr>
      <w:tabs>
        <w:tab w:val="center" w:pos="4536"/>
        <w:tab w:val="right" w:pos="9072"/>
      </w:tabs>
    </w:pPr>
  </w:style>
  <w:style w:type="paragraph" w:styleId="Footer">
    <w:name w:val="footer"/>
    <w:basedOn w:val="Normal"/>
    <w:rsid w:val="00E90737"/>
    <w:pPr>
      <w:tabs>
        <w:tab w:val="center" w:pos="4536"/>
        <w:tab w:val="right" w:pos="9072"/>
      </w:tabs>
    </w:pPr>
  </w:style>
  <w:style w:type="character" w:styleId="Strong">
    <w:name w:val="Strong"/>
    <w:basedOn w:val="DefaultParagraphFont"/>
    <w:uiPriority w:val="22"/>
    <w:qFormat/>
    <w:rsid w:val="005C43EB"/>
    <w:rPr>
      <w:b/>
      <w:bCs/>
    </w:rPr>
  </w:style>
  <w:style w:type="paragraph" w:customStyle="1" w:styleId="paragraph">
    <w:name w:val="paragraph"/>
    <w:basedOn w:val="Normal"/>
    <w:rsid w:val="00A07046"/>
    <w:pPr>
      <w:spacing w:before="100" w:beforeAutospacing="1" w:after="100" w:afterAutospacing="1"/>
    </w:pPr>
    <w:rPr>
      <w:lang w:eastAsia="zh-CN"/>
    </w:rPr>
  </w:style>
  <w:style w:type="character" w:customStyle="1" w:styleId="normaltextrun">
    <w:name w:val="normaltextrun"/>
    <w:basedOn w:val="DefaultParagraphFont"/>
    <w:rsid w:val="00A07046"/>
  </w:style>
  <w:style w:type="character" w:customStyle="1" w:styleId="eop">
    <w:name w:val="eop"/>
    <w:basedOn w:val="DefaultParagraphFont"/>
    <w:rsid w:val="00A07046"/>
  </w:style>
  <w:style w:type="character" w:customStyle="1" w:styleId="spellingerrorsuperscript">
    <w:name w:val="spellingerrorsuperscript"/>
    <w:basedOn w:val="DefaultParagraphFont"/>
    <w:rsid w:val="00A07046"/>
  </w:style>
  <w:style w:type="character" w:styleId="UnresolvedMention">
    <w:name w:val="Unresolved Mention"/>
    <w:basedOn w:val="DefaultParagraphFont"/>
    <w:uiPriority w:val="99"/>
    <w:semiHidden/>
    <w:unhideWhenUsed/>
    <w:rsid w:val="00A41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13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qmicro.com/products/versatile-gc-analyzers/dynamiq-x"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5526cf5818f34d6fe00a6de205b19d80">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add4f57da236148edcec270f1d4191d7"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F367B-E01F-4292-87D0-D04FBEC1CDD4}"/>
</file>

<file path=customXml/itemProps2.xml><?xml version="1.0" encoding="utf-8"?>
<ds:datastoreItem xmlns:ds="http://schemas.openxmlformats.org/officeDocument/2006/customXml" ds:itemID="{BF0FCF1E-A480-45A2-9C0D-48B6CB1E7FC6}">
  <ds:schemaRefs>
    <ds:schemaRef ds:uri="http://schemas.openxmlformats.org/officeDocument/2006/bibliography"/>
  </ds:schemaRefs>
</ds:datastoreItem>
</file>

<file path=customXml/itemProps3.xml><?xml version="1.0" encoding="utf-8"?>
<ds:datastoreItem xmlns:ds="http://schemas.openxmlformats.org/officeDocument/2006/customXml" ds:itemID="{41D40D66-473B-4B51-A7DA-74E91F6BAD10}">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4.xml><?xml version="1.0" encoding="utf-8"?>
<ds:datastoreItem xmlns:ds="http://schemas.openxmlformats.org/officeDocument/2006/customXml" ds:itemID="{66C7C76E-27CC-4AAC-AC12-68C35D5EC3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3334</Characters>
  <Application>Microsoft Office Word</Application>
  <DocSecurity>0</DocSecurity>
  <Lines>27</Lines>
  <Paragraphs>7</Paragraphs>
  <ScaleCrop>false</ScaleCrop>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2</cp:revision>
  <dcterms:created xsi:type="dcterms:W3CDTF">2026-07-08T08:38:00Z</dcterms:created>
  <dcterms:modified xsi:type="dcterms:W3CDTF">2026-07-08T16:50:00Z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y fmtid="{D5CDD505-2E9C-101B-9397-08002B2CF9AE}" pid="3" name="TaxKeyword">
    <vt:lpwstr/>
  </property>
  <property fmtid="{D5CDD505-2E9C-101B-9397-08002B2CF9AE}" pid="4" name="MCKnowledgeTag">
    <vt:lpwstr/>
  </property>
  <property fmtid="{D5CDD505-2E9C-101B-9397-08002B2CF9AE}" pid="5" name="MediaServiceImageTags">
    <vt:lpwstr/>
  </property>
  <property fmtid="{D5CDD505-2E9C-101B-9397-08002B2CF9AE}" pid="6" name="MSIP_Label_8b833d12-c387-4ee1-b3ed-d59690047b70_Enabled">
    <vt:lpwstr>true</vt:lpwstr>
  </property>
  <property fmtid="{D5CDD505-2E9C-101B-9397-08002B2CF9AE}" pid="7" name="MSIP_Label_8b833d12-c387-4ee1-b3ed-d59690047b70_SetDate">
    <vt:lpwstr>2026-07-08T08:38:43Z</vt:lpwstr>
  </property>
  <property fmtid="{D5CDD505-2E9C-101B-9397-08002B2CF9AE}" pid="8" name="MSIP_Label_8b833d12-c387-4ee1-b3ed-d59690047b70_Method">
    <vt:lpwstr>Standard</vt:lpwstr>
  </property>
  <property fmtid="{D5CDD505-2E9C-101B-9397-08002B2CF9AE}" pid="9" name="MSIP_Label_8b833d12-c387-4ee1-b3ed-d59690047b70_Name">
    <vt:lpwstr>D5</vt:lpwstr>
  </property>
  <property fmtid="{D5CDD505-2E9C-101B-9397-08002B2CF9AE}" pid="10" name="MSIP_Label_8b833d12-c387-4ee1-b3ed-d59690047b70_SiteId">
    <vt:lpwstr>97b70348-6168-425b-8cee-4328b09d7ddd</vt:lpwstr>
  </property>
  <property fmtid="{D5CDD505-2E9C-101B-9397-08002B2CF9AE}" pid="11" name="MSIP_Label_8b833d12-c387-4ee1-b3ed-d59690047b70_ActionId">
    <vt:lpwstr>7ed9986f-a479-4043-a6de-402060a6922b</vt:lpwstr>
  </property>
  <property fmtid="{D5CDD505-2E9C-101B-9397-08002B2CF9AE}" pid="12" name="MSIP_Label_8b833d12-c387-4ee1-b3ed-d59690047b70_ContentBits">
    <vt:lpwstr>0</vt:lpwstr>
  </property>
  <property fmtid="{D5CDD505-2E9C-101B-9397-08002B2CF9AE}" pid="13" name="MSIP_Label_8b833d12-c387-4ee1-b3ed-d59690047b70_Tag">
    <vt:lpwstr>10, 3, 0, 2</vt:lpwstr>
  </property>
</Properties>
</file>